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24FE" w:rsidRDefault="003E3EC5">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Joint Schedule 11 (Processing Data)</w:t>
      </w:r>
    </w:p>
    <w:p w:rsidR="00A024FE" w:rsidRDefault="00A024FE">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rsidR="00A024FE" w:rsidRDefault="003E3EC5">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rsidR="00A024FE" w:rsidRDefault="003E3EC5">
      <w:pPr>
        <w:numPr>
          <w:ilvl w:val="1"/>
          <w:numId w:val="3"/>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1"/>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A024FE">
        <w:tc>
          <w:tcPr>
            <w:tcW w:w="2263" w:type="dxa"/>
          </w:tcPr>
          <w:p w:rsidR="00A024FE" w:rsidRDefault="003E3EC5">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rsidR="00A024FE" w:rsidRDefault="003E3EC5">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all directors, officers, employees, agents, consultants and suppliers of the Processor and/or of any Subprocessor engaged in the performance of its obligations under a Contract;</w:t>
            </w:r>
          </w:p>
        </w:tc>
      </w:tr>
    </w:tbl>
    <w:p w:rsidR="00A024FE" w:rsidRDefault="003E3EC5">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rsidR="00A024FE" w:rsidRDefault="003E3EC5">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w:t>
      </w:r>
      <w:r>
        <w:rPr>
          <w:rFonts w:ascii="Arial" w:eastAsia="Arial" w:hAnsi="Arial" w:cs="Arial"/>
          <w:sz w:val="24"/>
          <w:szCs w:val="24"/>
        </w:rPr>
        <w:t>rty may act as:</w:t>
      </w:r>
    </w:p>
    <w:p w:rsidR="00A024FE" w:rsidRDefault="003E3EC5">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rsidR="00A024FE" w:rsidRDefault="003E3EC5">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
    <w:p w:rsidR="00A024FE" w:rsidRDefault="003E3EC5">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Party; </w:t>
      </w:r>
    </w:p>
    <w:p w:rsidR="00A024FE" w:rsidRDefault="003E3EC5">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w:t>
      </w:r>
      <w:r>
        <w:rPr>
          <w:rFonts w:ascii="Arial" w:eastAsia="Arial" w:hAnsi="Arial" w:cs="Arial"/>
          <w:sz w:val="24"/>
          <w:szCs w:val="24"/>
        </w:rPr>
        <w:t>lso “Controller”,</w:t>
      </w:r>
    </w:p>
    <w:p w:rsidR="00A024FE" w:rsidRDefault="003E3EC5">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rsidR="00A024FE" w:rsidRDefault="003E3EC5">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rsidR="00A024FE" w:rsidRDefault="003E3EC5">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rsidR="00A024FE" w:rsidRDefault="003E3EC5">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rsidR="00A024FE" w:rsidRDefault="003E3EC5">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w:t>
      </w:r>
      <w:r>
        <w:rPr>
          <w:rFonts w:ascii="Arial" w:eastAsia="Arial" w:hAnsi="Arial" w:cs="Arial"/>
          <w:sz w:val="24"/>
          <w:szCs w:val="24"/>
        </w:rPr>
        <w:t xml:space="preserve"> Protection Impact Assessment prior to commencing any Processing.  Such assistance may, at the discretion of the Controller, include:</w:t>
      </w:r>
    </w:p>
    <w:p w:rsidR="00A024FE" w:rsidRDefault="003E3EC5">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bookmarkStart w:id="0" w:name="_GoBack"/>
      <w:bookmarkEnd w:id="0"/>
    </w:p>
    <w:p w:rsidR="00A024FE" w:rsidRDefault="003E3EC5">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an assessment of the necessity and</w:t>
      </w:r>
      <w:r>
        <w:rPr>
          <w:rFonts w:ascii="Arial" w:eastAsia="Arial" w:hAnsi="Arial" w:cs="Arial"/>
          <w:sz w:val="24"/>
          <w:szCs w:val="24"/>
        </w:rPr>
        <w:t xml:space="preserve"> proportionality of the Processing in relation to the Deliverables;</w:t>
      </w:r>
    </w:p>
    <w:p w:rsidR="00A024FE" w:rsidRDefault="003E3EC5">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an assessment of the risks to the rights and freedoms of Data Subjects; and</w:t>
      </w:r>
    </w:p>
    <w:p w:rsidR="00A024FE" w:rsidRDefault="003E3EC5">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w:t>
      </w:r>
      <w:r>
        <w:rPr>
          <w:rFonts w:ascii="Arial" w:eastAsia="Arial" w:hAnsi="Arial" w:cs="Arial"/>
          <w:sz w:val="24"/>
          <w:szCs w:val="24"/>
        </w:rPr>
        <w:t>e protection of Personal Data.</w:t>
      </w:r>
    </w:p>
    <w:p w:rsidR="00A024FE" w:rsidRDefault="003E3EC5">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bookmarkStart w:id="1" w:name="bookmark=id.gjdgxs" w:colFirst="0" w:colLast="0"/>
      <w:bookmarkEnd w:id="1"/>
      <w:r>
        <w:rPr>
          <w:rFonts w:ascii="Arial" w:eastAsia="Arial" w:hAnsi="Arial" w:cs="Arial"/>
          <w:sz w:val="24"/>
          <w:szCs w:val="24"/>
        </w:rPr>
        <w:t>The Processor shall, in relation to any Personal Data Processed in connection with its obligations under the Contract:</w:t>
      </w:r>
    </w:p>
    <w:p w:rsidR="00A024FE" w:rsidRDefault="003E3EC5">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bookmarkStart w:id="2" w:name="bookmark=id.30j0zll" w:colFirst="0" w:colLast="0"/>
      <w:bookmarkEnd w:id="2"/>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unless the Processo</w:t>
      </w:r>
      <w:r>
        <w:rPr>
          <w:rFonts w:ascii="Arial" w:eastAsia="Arial" w:hAnsi="Arial" w:cs="Arial"/>
          <w:sz w:val="24"/>
          <w:szCs w:val="24"/>
        </w:rPr>
        <w:t>r is required to do otherwise by Law. If it is so required the Processor shall notify the Controller before Processing the Personal Data unless prohibited by Law;</w:t>
      </w:r>
    </w:p>
    <w:p w:rsidR="00A024FE" w:rsidRDefault="003E3EC5">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bookmarkStart w:id="3" w:name="bookmark=id.1fob9te" w:colFirst="0" w:colLast="0"/>
      <w:bookmarkEnd w:id="3"/>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which  the Controller may reasonably reject (but failure to reject shall not amount to approval by the Controller </w:t>
      </w:r>
      <w:r>
        <w:rPr>
          <w:rFonts w:ascii="Arial" w:eastAsia="Arial" w:hAnsi="Arial" w:cs="Arial"/>
          <w:sz w:val="24"/>
          <w:szCs w:val="24"/>
        </w:rPr>
        <w:t>of the adequacy of the Protective Measures) having taken account of the:</w:t>
      </w:r>
    </w:p>
    <w:p w:rsidR="00A024FE" w:rsidRDefault="003E3EC5">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bookmarkStart w:id="4" w:name="bookmark=id.3znysh7" w:colFirst="0" w:colLast="0"/>
      <w:bookmarkEnd w:id="4"/>
    </w:p>
    <w:p w:rsidR="00A024FE" w:rsidRDefault="003E3EC5">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rsidR="00A024FE" w:rsidRDefault="003E3EC5">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rsidR="00A024FE" w:rsidRDefault="003E3EC5">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rsidR="00A024FE" w:rsidRDefault="003E3EC5">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bookmarkStart w:id="5" w:name="bookmark=id.2et92p0" w:colFirst="0" w:colLast="0"/>
      <w:bookmarkEnd w:id="5"/>
      <w:r>
        <w:rPr>
          <w:rFonts w:ascii="Arial" w:eastAsia="Arial" w:hAnsi="Arial" w:cs="Arial"/>
          <w:sz w:val="24"/>
          <w:szCs w:val="24"/>
        </w:rPr>
        <w:t>ensure that :</w:t>
      </w:r>
    </w:p>
    <w:p w:rsidR="00A024FE" w:rsidRDefault="003E3EC5">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w:t>
      </w:r>
      <w:r>
        <w:rPr>
          <w:rFonts w:ascii="Arial" w:eastAsia="Arial" w:hAnsi="Arial" w:cs="Arial"/>
          <w:sz w:val="24"/>
          <w:szCs w:val="24"/>
        </w:rPr>
        <w:t>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rsidR="00A024FE" w:rsidRDefault="003E3EC5">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it takes all reasonable steps to ensure the reliability and integrity of any Processor Personnel who have access </w:t>
      </w:r>
      <w:r>
        <w:rPr>
          <w:rFonts w:ascii="Arial" w:eastAsia="Arial" w:hAnsi="Arial" w:cs="Arial"/>
          <w:sz w:val="24"/>
          <w:szCs w:val="24"/>
        </w:rPr>
        <w:t>to the Personal Data and ensure that they:</w:t>
      </w:r>
    </w:p>
    <w:p w:rsidR="00A024FE" w:rsidRDefault="003E3EC5">
      <w:pPr>
        <w:numPr>
          <w:ilvl w:val="4"/>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 of the Core Terms;</w:t>
      </w:r>
    </w:p>
    <w:p w:rsidR="00A024FE" w:rsidRDefault="003E3EC5">
      <w:pPr>
        <w:numPr>
          <w:ilvl w:val="4"/>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subject to appropriate confidentiality undertakings with the Processor or any Subprocessor;</w:t>
      </w:r>
    </w:p>
    <w:p w:rsidR="00A024FE" w:rsidRDefault="003E3EC5">
      <w:pPr>
        <w:numPr>
          <w:ilvl w:val="4"/>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w:t>
      </w:r>
      <w:r>
        <w:rPr>
          <w:rFonts w:ascii="Arial" w:eastAsia="Arial" w:hAnsi="Arial" w:cs="Arial"/>
          <w:sz w:val="24"/>
          <w:szCs w:val="24"/>
        </w:rPr>
        <w:t xml:space="preserve"> in writing to do so by the Controller or as otherwise permitted by the Contract; and</w:t>
      </w:r>
    </w:p>
    <w:p w:rsidR="00A024FE" w:rsidRDefault="003E3EC5">
      <w:pPr>
        <w:numPr>
          <w:ilvl w:val="4"/>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w:t>
      </w:r>
    </w:p>
    <w:p w:rsidR="00A024FE" w:rsidRDefault="003E3EC5">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bookmarkStart w:id="6" w:name="bookmark=id.tyjcwt" w:colFirst="0" w:colLast="0"/>
      <w:bookmarkEnd w:id="6"/>
      <w:r>
        <w:rPr>
          <w:rFonts w:ascii="Arial" w:eastAsia="Arial" w:hAnsi="Arial" w:cs="Arial"/>
          <w:sz w:val="24"/>
          <w:szCs w:val="24"/>
        </w:rPr>
        <w:t xml:space="preserve">not transfer Personal Data outside of the UK or EU unless the prior written </w:t>
      </w:r>
      <w:r>
        <w:rPr>
          <w:rFonts w:ascii="Arial" w:eastAsia="Arial" w:hAnsi="Arial" w:cs="Arial"/>
          <w:sz w:val="24"/>
          <w:szCs w:val="24"/>
        </w:rPr>
        <w:t>consent of the Controller has been obtained and the following conditions are fulfilled:</w:t>
      </w:r>
    </w:p>
    <w:p w:rsidR="00A024FE" w:rsidRDefault="003E3EC5">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7" w:name="bookmark=id.3dy6vkm" w:colFirst="0" w:colLast="0"/>
      <w:bookmarkEnd w:id="7"/>
      <w:r>
        <w:rPr>
          <w:rFonts w:ascii="Arial" w:eastAsia="Arial" w:hAnsi="Arial" w:cs="Arial"/>
          <w:sz w:val="24"/>
          <w:szCs w:val="24"/>
        </w:rPr>
        <w:lastRenderedPageBreak/>
        <w:t>the Controller or the Processor has provided appropriate safeguards in relation to the transfer (whether in accordance with UK GDPR Article 46 or LED Article 37) as det</w:t>
      </w:r>
      <w:r>
        <w:rPr>
          <w:rFonts w:ascii="Arial" w:eastAsia="Arial" w:hAnsi="Arial" w:cs="Arial"/>
          <w:sz w:val="24"/>
          <w:szCs w:val="24"/>
        </w:rPr>
        <w:t>ermined by the Controller;</w:t>
      </w:r>
    </w:p>
    <w:p w:rsidR="00A024FE" w:rsidRDefault="003E3EC5">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bookmark=id.1t3h5sf" w:colFirst="0" w:colLast="0"/>
      <w:bookmarkEnd w:id="8"/>
      <w:r>
        <w:rPr>
          <w:rFonts w:ascii="Arial" w:eastAsia="Arial" w:hAnsi="Arial" w:cs="Arial"/>
          <w:sz w:val="24"/>
          <w:szCs w:val="24"/>
        </w:rPr>
        <w:t>the Data Subject has enforceable rights and effective legal remedies;</w:t>
      </w:r>
    </w:p>
    <w:p w:rsidR="00A024FE" w:rsidRDefault="003E3EC5">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9" w:name="bookmark=id.4d34og8" w:colFirst="0" w:colLast="0"/>
      <w:bookmarkEnd w:id="9"/>
      <w:r>
        <w:rPr>
          <w:rFonts w:ascii="Arial" w:eastAsia="Arial" w:hAnsi="Arial" w:cs="Arial"/>
          <w:sz w:val="24"/>
          <w:szCs w:val="24"/>
        </w:rPr>
        <w:t>the Processor complies with its obligations under the Data Protection Legislation by providing an adequate level of protection to any Personal Data that is tra</w:t>
      </w:r>
      <w:r>
        <w:rPr>
          <w:rFonts w:ascii="Arial" w:eastAsia="Arial" w:hAnsi="Arial" w:cs="Arial"/>
          <w:sz w:val="24"/>
          <w:szCs w:val="24"/>
        </w:rPr>
        <w:t>nsferred (or, if it is not so bound, uses its best endeavours to assist the Controller in meeting its obligations); and</w:t>
      </w:r>
    </w:p>
    <w:p w:rsidR="00A024FE" w:rsidRDefault="003E3EC5">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0" w:name="bookmark=id.2s8eyo1" w:colFirst="0" w:colLast="0"/>
      <w:bookmarkEnd w:id="10"/>
      <w:r>
        <w:rPr>
          <w:rFonts w:ascii="Arial" w:eastAsia="Arial" w:hAnsi="Arial" w:cs="Arial"/>
          <w:sz w:val="24"/>
          <w:szCs w:val="24"/>
        </w:rPr>
        <w:t>the Processor complies with any reasonable instructions notified to it in advance by the Controller with respect to the Processing of th</w:t>
      </w:r>
      <w:r>
        <w:rPr>
          <w:rFonts w:ascii="Arial" w:eastAsia="Arial" w:hAnsi="Arial" w:cs="Arial"/>
          <w:sz w:val="24"/>
          <w:szCs w:val="24"/>
        </w:rPr>
        <w:t>e Personal Data; and</w:t>
      </w:r>
    </w:p>
    <w:p w:rsidR="00A024FE" w:rsidRDefault="003E3EC5">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bookmarkStart w:id="11" w:name="bookmark=id.17dp8vu" w:colFirst="0" w:colLast="0"/>
      <w:bookmarkEnd w:id="11"/>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rsidR="00A024FE" w:rsidRDefault="003E3EC5">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bookmarkStart w:id="12" w:name="bookmark=id.3rdcrjn" w:colFirst="0" w:colLast="0"/>
      <w:bookmarkEnd w:id="12"/>
      <w:r>
        <w:rPr>
          <w:rFonts w:ascii="Arial" w:eastAsia="Arial" w:hAnsi="Arial" w:cs="Arial"/>
          <w:sz w:val="24"/>
          <w:szCs w:val="24"/>
        </w:rPr>
        <w:t>Subject to paragraph 8 of this Joint Schedule 11, the Processor  shall notify the Controller immediately if in relation to it Processing Personal Data under or in connection with the Contract it:</w:t>
      </w:r>
    </w:p>
    <w:p w:rsidR="00A024FE" w:rsidRDefault="003E3EC5">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w:t>
      </w:r>
      <w:r>
        <w:rPr>
          <w:rFonts w:ascii="Arial" w:eastAsia="Arial" w:hAnsi="Arial" w:cs="Arial"/>
          <w:sz w:val="24"/>
          <w:szCs w:val="24"/>
        </w:rPr>
        <w:t>bject Access Request);</w:t>
      </w:r>
    </w:p>
    <w:p w:rsidR="00A024FE" w:rsidRDefault="003E3EC5">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rsidR="00A024FE" w:rsidRDefault="003E3EC5">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rsidR="00A024FE" w:rsidRDefault="003E3EC5">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any communication from t</w:t>
      </w:r>
      <w:r>
        <w:rPr>
          <w:rFonts w:ascii="Arial" w:eastAsia="Arial" w:hAnsi="Arial" w:cs="Arial"/>
          <w:sz w:val="24"/>
          <w:szCs w:val="24"/>
        </w:rPr>
        <w:t xml:space="preserve">he Information Commissioner or any other regulatory authority in connection with Personal Data Processed under the Contract; </w:t>
      </w:r>
    </w:p>
    <w:p w:rsidR="00A024FE" w:rsidRDefault="003E3EC5">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w:t>
      </w:r>
      <w:r>
        <w:rPr>
          <w:rFonts w:ascii="Arial" w:eastAsia="Arial" w:hAnsi="Arial" w:cs="Arial"/>
          <w:sz w:val="24"/>
          <w:szCs w:val="24"/>
        </w:rPr>
        <w:t>d to be required by Law; or</w:t>
      </w:r>
    </w:p>
    <w:p w:rsidR="00A024FE" w:rsidRDefault="003E3EC5">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rsidR="00A024FE" w:rsidRDefault="003E3EC5">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7 of this Joint Schedule 11 shall include the provision of further information to the Controller, as details become available. </w:t>
      </w:r>
    </w:p>
    <w:p w:rsidR="00A024FE" w:rsidRDefault="003E3EC5">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Taking</w:t>
      </w:r>
      <w:r>
        <w:rPr>
          <w:rFonts w:ascii="Arial" w:eastAsia="Arial" w:hAnsi="Arial" w:cs="Arial"/>
          <w:sz w:val="24"/>
          <w:szCs w:val="24"/>
        </w:rPr>
        <w:t xml:space="preserve"> into account the nature of the Processing, the Processor shall provide the Controller with assistance in relation to either Party's obligations under Data Protection Legislation and any complaint, communication or request made under paragraph 7 of this Jo</w:t>
      </w:r>
      <w:r>
        <w:rPr>
          <w:rFonts w:ascii="Arial" w:eastAsia="Arial" w:hAnsi="Arial" w:cs="Arial"/>
          <w:sz w:val="24"/>
          <w:szCs w:val="24"/>
        </w:rPr>
        <w:t>int Schedule 11 (and insofar as possible within the timescales reasonably required by the Controller) including by immediately providing:</w:t>
      </w:r>
    </w:p>
    <w:p w:rsidR="00A024FE" w:rsidRDefault="003E3EC5">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the Controller with full details and copies of the complaint, communication or request;</w:t>
      </w:r>
    </w:p>
    <w:p w:rsidR="00A024FE" w:rsidRDefault="003E3EC5">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such assistance as is reasonably requested by the Controller to enable it to comply with a Data Subject Access Request within the relevant timescales set out in the Data Protection Legislation; </w:t>
      </w:r>
    </w:p>
    <w:p w:rsidR="00A024FE" w:rsidRDefault="003E3EC5">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at its request, with any Personal Data it hol</w:t>
      </w:r>
      <w:r>
        <w:rPr>
          <w:rFonts w:ascii="Arial" w:eastAsia="Arial" w:hAnsi="Arial" w:cs="Arial"/>
          <w:sz w:val="24"/>
          <w:szCs w:val="24"/>
        </w:rPr>
        <w:t xml:space="preserve">ds in relation to a Data Subject; </w:t>
      </w:r>
    </w:p>
    <w:p w:rsidR="00A024FE" w:rsidRDefault="003E3EC5">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following any Personal Data Breach;  and/or</w:t>
      </w:r>
    </w:p>
    <w:p w:rsidR="00A024FE" w:rsidRDefault="003E3EC5">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w:t>
      </w:r>
      <w:r>
        <w:rPr>
          <w:rFonts w:ascii="Arial" w:eastAsia="Arial" w:hAnsi="Arial" w:cs="Arial"/>
          <w:sz w:val="24"/>
          <w:szCs w:val="24"/>
        </w:rPr>
        <w:t>y the Controller with the Information Commissioner's Office.</w:t>
      </w:r>
    </w:p>
    <w:p w:rsidR="00A024FE" w:rsidRDefault="003E3EC5">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w:t>
      </w:r>
      <w:r>
        <w:rPr>
          <w:rFonts w:ascii="Arial" w:eastAsia="Arial" w:hAnsi="Arial" w:cs="Arial"/>
          <w:sz w:val="24"/>
          <w:szCs w:val="24"/>
        </w:rPr>
        <w:t>ewer than 250 staff, unless:</w:t>
      </w:r>
    </w:p>
    <w:p w:rsidR="00A024FE" w:rsidRDefault="003E3EC5">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not occasional;</w:t>
      </w:r>
    </w:p>
    <w:p w:rsidR="00A024FE" w:rsidRDefault="003E3EC5">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bookmarkStart w:id="13" w:name="_heading=h.26in1rg" w:colFirst="0" w:colLast="0"/>
      <w:bookmarkEnd w:id="13"/>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rsidR="00A024FE" w:rsidRDefault="003E3EC5">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w:t>
      </w:r>
      <w:r>
        <w:rPr>
          <w:rFonts w:ascii="Arial" w:eastAsia="Arial" w:hAnsi="Arial" w:cs="Arial"/>
          <w:sz w:val="24"/>
          <w:szCs w:val="24"/>
        </w:rPr>
        <w:t xml:space="preserve"> that the Processing is likely to result in a risk to the rights and freedoms of Data Subjects.</w:t>
      </w:r>
    </w:p>
    <w:p w:rsidR="00A024FE" w:rsidRDefault="003E3EC5">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bookmarkStart w:id="14" w:name="bookmark=id.lnxbz9" w:colFirst="0" w:colLast="0"/>
      <w:bookmarkEnd w:id="14"/>
      <w:r>
        <w:rPr>
          <w:rFonts w:ascii="Arial" w:eastAsia="Arial" w:hAnsi="Arial" w:cs="Arial"/>
          <w:sz w:val="24"/>
          <w:szCs w:val="24"/>
        </w:rPr>
        <w:t>The Processor shall allow for audits of its Data Processing activity by the Controller or the Controller’s designated auditor.</w:t>
      </w:r>
    </w:p>
    <w:p w:rsidR="00A024FE" w:rsidRDefault="003E3EC5">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designate a Dat</w:t>
      </w:r>
      <w:r>
        <w:rPr>
          <w:rFonts w:ascii="Arial" w:eastAsia="Arial" w:hAnsi="Arial" w:cs="Arial"/>
          <w:sz w:val="24"/>
          <w:szCs w:val="24"/>
        </w:rPr>
        <w:t xml:space="preserve">a Protection Officer if required by the Data Protection Legislation. </w:t>
      </w:r>
    </w:p>
    <w:p w:rsidR="00A024FE" w:rsidRDefault="003E3EC5">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Before allowing any Subprocessor to Process any Personal Data related to the Contract, the Processor must:</w:t>
      </w:r>
    </w:p>
    <w:p w:rsidR="00A024FE" w:rsidRDefault="003E3EC5">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notify the Controller in writing of the intended Subprocessor and Processing;</w:t>
      </w:r>
    </w:p>
    <w:p w:rsidR="00A024FE" w:rsidRDefault="003E3EC5">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o</w:t>
      </w:r>
      <w:r>
        <w:rPr>
          <w:rFonts w:ascii="Arial" w:eastAsia="Arial" w:hAnsi="Arial" w:cs="Arial"/>
          <w:sz w:val="24"/>
          <w:szCs w:val="24"/>
        </w:rPr>
        <w:t xml:space="preserve">btain the written consent of the Controller; </w:t>
      </w:r>
    </w:p>
    <w:p w:rsidR="00A024FE" w:rsidRDefault="003E3EC5">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enter into a written agreement with the Subprocessor which give effect to the terms set out in this Joint Schedule 11 such that they apply to the Subprocessor; and</w:t>
      </w:r>
    </w:p>
    <w:p w:rsidR="00A024FE" w:rsidRDefault="003E3EC5">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provide the Controller with such information r</w:t>
      </w:r>
      <w:r>
        <w:rPr>
          <w:rFonts w:ascii="Arial" w:eastAsia="Arial" w:hAnsi="Arial" w:cs="Arial"/>
          <w:sz w:val="24"/>
          <w:szCs w:val="24"/>
        </w:rPr>
        <w:t>egarding the Subprocessor as the Controller may reasonably require.</w:t>
      </w:r>
    </w:p>
    <w:p w:rsidR="00A024FE" w:rsidRDefault="003E3EC5">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remain fully liable for all acts or omissions of any of its Subprocessors.</w:t>
      </w:r>
    </w:p>
    <w:p w:rsidR="00A024FE" w:rsidRDefault="003E3EC5">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bookmarkStart w:id="15" w:name="bookmark=id.35nkun2" w:colFirst="0" w:colLast="0"/>
      <w:bookmarkEnd w:id="15"/>
      <w:r>
        <w:rPr>
          <w:rFonts w:ascii="Arial" w:eastAsia="Arial" w:hAnsi="Arial" w:cs="Arial"/>
          <w:sz w:val="24"/>
          <w:szCs w:val="24"/>
        </w:rPr>
        <w:t>The Relevant Authority may, at any time on not less than thirty (30) Working Days’ notice, re</w:t>
      </w:r>
      <w:r>
        <w:rPr>
          <w:rFonts w:ascii="Arial" w:eastAsia="Arial" w:hAnsi="Arial" w:cs="Arial"/>
          <w:sz w:val="24"/>
          <w:szCs w:val="24"/>
        </w:rPr>
        <w:t xml:space="preserve">vise this Joint Schedule 11 by replacing it with any applicable controller to processor standard clauses or similar terms forming part of an </w:t>
      </w:r>
      <w:r>
        <w:rPr>
          <w:rFonts w:ascii="Arial" w:eastAsia="Arial" w:hAnsi="Arial" w:cs="Arial"/>
          <w:sz w:val="24"/>
          <w:szCs w:val="24"/>
        </w:rPr>
        <w:lastRenderedPageBreak/>
        <w:t>applicable certification scheme (which shall apply when incorporated by attachment to the Contract).</w:t>
      </w:r>
    </w:p>
    <w:p w:rsidR="00A024FE" w:rsidRDefault="003E3EC5">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ag</w:t>
      </w:r>
      <w:r>
        <w:rPr>
          <w:rFonts w:ascii="Arial" w:eastAsia="Arial" w:hAnsi="Arial" w:cs="Arial"/>
          <w:sz w:val="24"/>
          <w:szCs w:val="24"/>
        </w:rPr>
        <w:t xml:space="preserve">ree to take account of any guidance issued by the Information Commissioner’s Office. The Relevant Authority may on not less than thirty (30) Working Days’ notice to the Supplier amend the Contract to ensure that it complies with any guidance issued by the </w:t>
      </w:r>
      <w:r>
        <w:rPr>
          <w:rFonts w:ascii="Arial" w:eastAsia="Arial" w:hAnsi="Arial" w:cs="Arial"/>
          <w:sz w:val="24"/>
          <w:szCs w:val="24"/>
        </w:rPr>
        <w:t xml:space="preserve">Information Commissioner’s Office. </w:t>
      </w:r>
    </w:p>
    <w:p w:rsidR="00A024FE" w:rsidRDefault="003E3EC5">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rsidR="00A024FE" w:rsidRDefault="003E3EC5">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the event that the Parties are Joint Controllers in respect of Personal Data under the Contract, the Parties shall implement paragraphs that are necessary to comply with UK GDPR Article 26 based on the terms set out in Annex 2 to this Joint Schedule 11.</w:t>
      </w:r>
      <w:r>
        <w:rPr>
          <w:rFonts w:ascii="Arial" w:eastAsia="Arial" w:hAnsi="Arial" w:cs="Arial"/>
          <w:sz w:val="24"/>
          <w:szCs w:val="24"/>
        </w:rPr>
        <w:t xml:space="preserve"> </w:t>
      </w:r>
    </w:p>
    <w:p w:rsidR="00A024FE" w:rsidRDefault="003E3EC5">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rsidR="00A024FE" w:rsidRDefault="003E3EC5">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w:t>
      </w:r>
      <w:r>
        <w:rPr>
          <w:rFonts w:ascii="Arial" w:eastAsia="Arial" w:hAnsi="Arial" w:cs="Arial"/>
          <w:sz w:val="24"/>
          <w:szCs w:val="24"/>
        </w:rPr>
        <w:t>cable Data Protection Legislation in respect of their Processing of such Personal Data as Controller.</w:t>
      </w:r>
    </w:p>
    <w:p w:rsidR="00A024FE" w:rsidRDefault="003E3EC5">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Each Party shall Process the Personal Data in compliance with its obligations under the Data Protection Legislation and not do anything to cause the other</w:t>
      </w:r>
      <w:r>
        <w:rPr>
          <w:rFonts w:ascii="Arial" w:eastAsia="Arial" w:hAnsi="Arial" w:cs="Arial"/>
          <w:sz w:val="24"/>
          <w:szCs w:val="24"/>
        </w:rPr>
        <w:t xml:space="preserve"> Party to be in breach of it. </w:t>
      </w:r>
    </w:p>
    <w:p w:rsidR="00A024FE" w:rsidRDefault="003E3EC5">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18 of this Joint Schedule 11 above, the recipient of the Personal Data will provide all such relevant documents and information relating</w:t>
      </w:r>
      <w:r>
        <w:rPr>
          <w:rFonts w:ascii="Arial" w:eastAsia="Arial" w:hAnsi="Arial" w:cs="Arial"/>
          <w:sz w:val="24"/>
          <w:szCs w:val="24"/>
        </w:rPr>
        <w:t xml:space="preserve"> to its data protection policies and procedures as the other Party may reasonably require.</w:t>
      </w:r>
    </w:p>
    <w:p w:rsidR="00A024FE" w:rsidRDefault="003E3EC5">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be responsible for their own compliance with Articles 13 and 14 UK GDPR in respect of the Processing of Personal Data for the purposes of the Contr</w:t>
      </w:r>
      <w:r>
        <w:rPr>
          <w:rFonts w:ascii="Arial" w:eastAsia="Arial" w:hAnsi="Arial" w:cs="Arial"/>
          <w:sz w:val="24"/>
          <w:szCs w:val="24"/>
        </w:rPr>
        <w:t xml:space="preserve">act. </w:t>
      </w:r>
    </w:p>
    <w:p w:rsidR="00A024FE" w:rsidRDefault="003E3EC5">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rsidR="00A024FE" w:rsidRDefault="003E3EC5">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rsidR="00A024FE" w:rsidRDefault="003E3EC5">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rsidR="00A024FE" w:rsidRDefault="003E3EC5">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it has recorded it in Annex 1</w:t>
      </w:r>
      <w:r>
        <w:rPr>
          <w:rFonts w:ascii="Arial" w:eastAsia="Arial" w:hAnsi="Arial" w:cs="Arial"/>
          <w:sz w:val="24"/>
          <w:szCs w:val="24"/>
        </w:rPr>
        <w:t xml:space="preserve"> </w:t>
      </w:r>
      <w:r>
        <w:rPr>
          <w:rFonts w:ascii="Arial" w:eastAsia="Arial" w:hAnsi="Arial" w:cs="Arial"/>
          <w:i/>
          <w:sz w:val="24"/>
          <w:szCs w:val="24"/>
        </w:rPr>
        <w:t>(Processing Personal Data).</w:t>
      </w:r>
    </w:p>
    <w:p w:rsidR="00A024FE" w:rsidRDefault="003E3EC5">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Taking into account the state of the art, the costs of implementation and the nature, scope, context and purposes of Processing as well as the risk of varying likelihood and severity for the rights and freedoms of natural pers</w:t>
      </w:r>
      <w:r>
        <w:rPr>
          <w:rFonts w:ascii="Arial" w:eastAsia="Arial" w:hAnsi="Arial" w:cs="Arial"/>
          <w:sz w:val="24"/>
          <w:szCs w:val="24"/>
        </w:rPr>
        <w:t xml:space="preserve">ons, each Party shall, with respect to its Processing of Personal Data as Independent Controller, implement and maintain appropriate technical and organisational </w:t>
      </w:r>
      <w:r>
        <w:rPr>
          <w:rFonts w:ascii="Arial" w:eastAsia="Arial" w:hAnsi="Arial" w:cs="Arial"/>
          <w:sz w:val="24"/>
          <w:szCs w:val="24"/>
        </w:rPr>
        <w:lastRenderedPageBreak/>
        <w:t>measures to ensure a level of security appropriate to that risk, including, as appropriate, th</w:t>
      </w:r>
      <w:r>
        <w:rPr>
          <w:rFonts w:ascii="Arial" w:eastAsia="Arial" w:hAnsi="Arial" w:cs="Arial"/>
          <w:sz w:val="24"/>
          <w:szCs w:val="24"/>
        </w:rPr>
        <w:t>e measures referred to in Article 32(1)(a), (b), (c) and (d) of the UK GDPR, and the measures shall, at a minimum, comply with the requirements of the Data Protection Legislation, including Article 32 of the UK GDPR.</w:t>
      </w:r>
    </w:p>
    <w:p w:rsidR="00A024FE" w:rsidRDefault="003E3EC5">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w:t>
      </w:r>
      <w:r>
        <w:rPr>
          <w:rFonts w:ascii="Arial" w:eastAsia="Arial" w:hAnsi="Arial" w:cs="Arial"/>
          <w:sz w:val="24"/>
          <w:szCs w:val="24"/>
        </w:rPr>
        <w:t>e purposes of the Contract shall maintain a record of its Processing activities in accordance with Article 30 UK GDPR and shall make the record available to the other Party upon reasonable request.</w:t>
      </w:r>
    </w:p>
    <w:p w:rsidR="00A024FE" w:rsidRDefault="003E3EC5">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receives a request by any Data Subject to ex</w:t>
      </w:r>
      <w:r>
        <w:rPr>
          <w:rFonts w:ascii="Arial" w:eastAsia="Arial" w:hAnsi="Arial" w:cs="Arial"/>
          <w:sz w:val="24"/>
          <w:szCs w:val="24"/>
        </w:rPr>
        <w:t xml:space="preserve">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rsidR="00A024FE" w:rsidRDefault="003E3EC5">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rsidR="00A024FE" w:rsidRDefault="003E3EC5">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the request or correspondence is directed t</w:t>
      </w:r>
      <w:r>
        <w:rPr>
          <w:rFonts w:ascii="Arial" w:eastAsia="Arial" w:hAnsi="Arial" w:cs="Arial"/>
          <w:sz w:val="24"/>
          <w:szCs w:val="24"/>
        </w:rPr>
        <w:t>o the other Party and/or relates to that other Party's Processing of the Personal Data, the Request Recipient  will:</w:t>
      </w:r>
    </w:p>
    <w:p w:rsidR="00A024FE" w:rsidRDefault="003E3EC5">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w:t>
      </w:r>
      <w:r>
        <w:rPr>
          <w:rFonts w:ascii="Arial" w:eastAsia="Arial" w:hAnsi="Arial" w:cs="Arial"/>
          <w:sz w:val="24"/>
          <w:szCs w:val="24"/>
        </w:rPr>
        <w:t>eived the same and shall forward such request or correspondence to the other Party; and</w:t>
      </w:r>
    </w:p>
    <w:p w:rsidR="00A024FE" w:rsidRDefault="003E3EC5">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rsidR="00A024FE" w:rsidRDefault="003E3EC5">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Each Party shall promptly notify the other Party upon it be</w:t>
      </w:r>
      <w:r>
        <w:rPr>
          <w:rFonts w:ascii="Arial" w:eastAsia="Arial" w:hAnsi="Arial" w:cs="Arial"/>
          <w:sz w:val="24"/>
          <w:szCs w:val="24"/>
        </w:rPr>
        <w:t xml:space="preserve">coming aware of any Personal Data Breach relating to Personal Data provided by the other Party pursuant to the Contract and shall: </w:t>
      </w:r>
    </w:p>
    <w:p w:rsidR="00A024FE" w:rsidRDefault="003E3EC5">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Breach; </w:t>
      </w:r>
    </w:p>
    <w:p w:rsidR="00A024FE" w:rsidRDefault="003E3EC5">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rsidR="00A024FE" w:rsidRDefault="003E3EC5">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w:t>
      </w:r>
      <w:r>
        <w:rPr>
          <w:rFonts w:ascii="Arial" w:eastAsia="Arial" w:hAnsi="Arial" w:cs="Arial"/>
          <w:sz w:val="24"/>
          <w:szCs w:val="24"/>
        </w:rPr>
        <w:t>tion Legislation (including the timeframes set out therein); and</w:t>
      </w:r>
    </w:p>
    <w:p w:rsidR="00A024FE" w:rsidRDefault="003E3EC5">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rsidR="00A024FE" w:rsidRDefault="003E3EC5">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Personal Data provided by one Party </w:t>
      </w:r>
      <w:r>
        <w:rPr>
          <w:rFonts w:ascii="Arial" w:eastAsia="Arial" w:hAnsi="Arial" w:cs="Arial"/>
          <w:sz w:val="24"/>
          <w:szCs w:val="24"/>
        </w:rPr>
        <w:t xml:space="preserve">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rsidR="00A024FE" w:rsidRDefault="003E3EC5">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Personal Data shall not be retained or processed for longer than is necessary to perform each Party’s res</w:t>
      </w:r>
      <w:r>
        <w:rPr>
          <w:rFonts w:ascii="Arial" w:eastAsia="Arial" w:hAnsi="Arial" w:cs="Arial"/>
          <w:sz w:val="24"/>
          <w:szCs w:val="24"/>
        </w:rPr>
        <w:t xml:space="preserve">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rsidR="00A024FE" w:rsidRDefault="003E3EC5">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w:t>
      </w:r>
      <w:r>
        <w:rPr>
          <w:rFonts w:ascii="Arial" w:eastAsia="Arial" w:hAnsi="Arial" w:cs="Arial"/>
          <w:sz w:val="24"/>
          <w:szCs w:val="24"/>
        </w:rPr>
        <w:t>ler of Personal Data in accordance with paragraphs 18 to 28 of this Joint Schedule 11.</w:t>
      </w:r>
    </w:p>
    <w:p w:rsidR="00A024FE" w:rsidRDefault="00A024FE">
      <w:pPr>
        <w:pBdr>
          <w:top w:val="nil"/>
          <w:left w:val="nil"/>
          <w:bottom w:val="nil"/>
          <w:right w:val="nil"/>
          <w:between w:val="nil"/>
        </w:pBdr>
        <w:spacing w:before="280" w:after="120"/>
        <w:ind w:left="709"/>
        <w:rPr>
          <w:rFonts w:ascii="Arial" w:eastAsia="Arial" w:hAnsi="Arial" w:cs="Arial"/>
          <w:sz w:val="24"/>
          <w:szCs w:val="24"/>
        </w:rPr>
      </w:pPr>
    </w:p>
    <w:p w:rsidR="00A024FE" w:rsidRDefault="003E3EC5">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rsidR="00A024FE" w:rsidRDefault="003E3EC5">
      <w:pPr>
        <w:rPr>
          <w:rFonts w:ascii="Arial" w:eastAsia="Arial" w:hAnsi="Arial" w:cs="Arial"/>
          <w:sz w:val="24"/>
          <w:szCs w:val="24"/>
        </w:rPr>
      </w:pPr>
      <w:r>
        <w:rPr>
          <w:rFonts w:ascii="Arial" w:eastAsia="Arial" w:hAnsi="Arial" w:cs="Arial"/>
          <w:sz w:val="24"/>
          <w:szCs w:val="24"/>
        </w:rPr>
        <w:t>This Annex shall be completed by the Controller, who may take account of the view of the Processors, however the final decision as t</w:t>
      </w:r>
      <w:r>
        <w:rPr>
          <w:rFonts w:ascii="Arial" w:eastAsia="Arial" w:hAnsi="Arial" w:cs="Arial"/>
          <w:sz w:val="24"/>
          <w:szCs w:val="24"/>
        </w:rPr>
        <w:t xml:space="preserve">o the content of this Annex shall be with the Relevant Authority at its absolute discretion.  </w:t>
      </w:r>
    </w:p>
    <w:p w:rsidR="00A024FE" w:rsidRDefault="003E3EC5">
      <w:pPr>
        <w:keepNext/>
        <w:numPr>
          <w:ilvl w:val="3"/>
          <w:numId w:val="8"/>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Relevant Authority’s Data Protection Officer are: </w:t>
      </w:r>
      <w:r>
        <w:rPr>
          <w:rFonts w:ascii="Arial" w:eastAsia="Arial" w:hAnsi="Arial" w:cs="Arial"/>
          <w:b/>
          <w:sz w:val="24"/>
          <w:szCs w:val="24"/>
          <w:highlight w:val="yellow"/>
        </w:rPr>
        <w:t>[Insert</w:t>
      </w:r>
      <w:r>
        <w:rPr>
          <w:rFonts w:ascii="Arial" w:eastAsia="Arial" w:hAnsi="Arial" w:cs="Arial"/>
          <w:sz w:val="24"/>
          <w:szCs w:val="24"/>
        </w:rPr>
        <w:t xml:space="preserve"> Contact details]</w:t>
      </w:r>
    </w:p>
    <w:p w:rsidR="00A024FE" w:rsidRDefault="003E3EC5">
      <w:pPr>
        <w:keepNext/>
        <w:numPr>
          <w:ilvl w:val="3"/>
          <w:numId w:val="8"/>
        </w:numPr>
        <w:spacing w:after="0" w:line="240" w:lineRule="auto"/>
        <w:jc w:val="both"/>
        <w:rPr>
          <w:rFonts w:ascii="Arial" w:eastAsia="Arial" w:hAnsi="Arial" w:cs="Arial"/>
          <w:sz w:val="24"/>
          <w:szCs w:val="24"/>
        </w:rPr>
      </w:pPr>
      <w:r>
        <w:rPr>
          <w:rFonts w:ascii="Arial" w:eastAsia="Arial" w:hAnsi="Arial" w:cs="Arial"/>
          <w:sz w:val="24"/>
          <w:szCs w:val="24"/>
        </w:rPr>
        <w:t>The contact details of the Supplier’s Data Protection Offic</w:t>
      </w:r>
      <w:r>
        <w:rPr>
          <w:rFonts w:ascii="Arial" w:eastAsia="Arial" w:hAnsi="Arial" w:cs="Arial"/>
          <w:sz w:val="24"/>
          <w:szCs w:val="24"/>
        </w:rPr>
        <w:t xml:space="preserve">er are: </w:t>
      </w:r>
      <w:r>
        <w:rPr>
          <w:rFonts w:ascii="Arial" w:eastAsia="Arial" w:hAnsi="Arial" w:cs="Arial"/>
          <w:b/>
          <w:sz w:val="24"/>
          <w:szCs w:val="24"/>
          <w:highlight w:val="yellow"/>
        </w:rPr>
        <w:t>[Insert</w:t>
      </w:r>
      <w:r>
        <w:rPr>
          <w:rFonts w:ascii="Arial" w:eastAsia="Arial" w:hAnsi="Arial" w:cs="Arial"/>
          <w:sz w:val="24"/>
          <w:szCs w:val="24"/>
        </w:rPr>
        <w:t xml:space="preserve"> Contact details]</w:t>
      </w:r>
    </w:p>
    <w:p w:rsidR="00A024FE" w:rsidRDefault="003E3EC5">
      <w:pPr>
        <w:keepNext/>
        <w:numPr>
          <w:ilvl w:val="3"/>
          <w:numId w:val="8"/>
        </w:numPr>
        <w:spacing w:after="0" w:line="240" w:lineRule="auto"/>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rsidR="00A024FE" w:rsidRDefault="003E3EC5">
      <w:pPr>
        <w:keepNext/>
        <w:numPr>
          <w:ilvl w:val="3"/>
          <w:numId w:val="8"/>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rsidR="00A024FE" w:rsidRDefault="00A024FE">
      <w:pPr>
        <w:keepNext/>
        <w:ind w:left="720"/>
        <w:rPr>
          <w:rFonts w:ascii="Arial" w:eastAsia="Arial" w:hAnsi="Arial" w:cs="Arial"/>
          <w:sz w:val="24"/>
          <w:szCs w:val="24"/>
        </w:rPr>
      </w:pPr>
    </w:p>
    <w:tbl>
      <w:tblPr>
        <w:tblStyle w:val="a2"/>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A024FE">
        <w:trPr>
          <w:trHeight w:val="700"/>
        </w:trPr>
        <w:tc>
          <w:tcPr>
            <w:tcW w:w="2263" w:type="dxa"/>
            <w:shd w:val="clear" w:color="auto" w:fill="BFBFBF"/>
            <w:vAlign w:val="center"/>
          </w:tcPr>
          <w:p w:rsidR="00A024FE" w:rsidRDefault="003E3EC5">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rsidR="00A024FE" w:rsidRDefault="003E3EC5">
            <w:pPr>
              <w:jc w:val="center"/>
              <w:rPr>
                <w:rFonts w:ascii="Arial" w:eastAsia="Arial" w:hAnsi="Arial" w:cs="Arial"/>
                <w:b/>
                <w:sz w:val="24"/>
                <w:szCs w:val="24"/>
              </w:rPr>
            </w:pPr>
            <w:r>
              <w:rPr>
                <w:rFonts w:ascii="Arial" w:eastAsia="Arial" w:hAnsi="Arial" w:cs="Arial"/>
                <w:b/>
                <w:sz w:val="24"/>
                <w:szCs w:val="24"/>
              </w:rPr>
              <w:t>Details</w:t>
            </w:r>
          </w:p>
        </w:tc>
      </w:tr>
      <w:tr w:rsidR="00A024FE">
        <w:trPr>
          <w:trHeight w:val="1620"/>
        </w:trPr>
        <w:tc>
          <w:tcPr>
            <w:tcW w:w="2263" w:type="dxa"/>
            <w:shd w:val="clear" w:color="auto" w:fill="auto"/>
          </w:tcPr>
          <w:p w:rsidR="00A024FE" w:rsidRDefault="003E3EC5">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rsidR="00A024FE" w:rsidRDefault="003E3EC5">
            <w:pPr>
              <w:rPr>
                <w:rFonts w:ascii="Arial" w:eastAsia="Arial" w:hAnsi="Arial" w:cs="Arial"/>
                <w:b/>
                <w:sz w:val="24"/>
                <w:szCs w:val="24"/>
              </w:rPr>
            </w:pPr>
            <w:r>
              <w:rPr>
                <w:rFonts w:ascii="Arial" w:eastAsia="Arial" w:hAnsi="Arial" w:cs="Arial"/>
                <w:b/>
                <w:sz w:val="24"/>
                <w:szCs w:val="24"/>
              </w:rPr>
              <w:t>The Relevant Authority is Controller and the Supplier is Processor</w:t>
            </w:r>
          </w:p>
          <w:p w:rsidR="00A024FE" w:rsidRDefault="003E3EC5">
            <w:pPr>
              <w:rPr>
                <w:rFonts w:ascii="Arial" w:eastAsia="Arial" w:hAnsi="Arial" w:cs="Arial"/>
                <w:sz w:val="24"/>
                <w:szCs w:val="24"/>
              </w:rPr>
            </w:pPr>
            <w:r>
              <w:rPr>
                <w:rFonts w:ascii="Arial" w:eastAsia="Arial" w:hAnsi="Arial" w:cs="Arial"/>
                <w:sz w:val="24"/>
                <w:szCs w:val="24"/>
              </w:rPr>
              <w:t>The Parties acknowledge that in accordance with paragraph 3 to paragraph 16 and for the purposes of the Data Protection Legislation</w:t>
            </w:r>
            <w:r>
              <w:rPr>
                <w:rFonts w:ascii="Arial" w:eastAsia="Arial" w:hAnsi="Arial" w:cs="Arial"/>
                <w:sz w:val="24"/>
                <w:szCs w:val="24"/>
              </w:rPr>
              <w:t>, the Relevant Authority is the Controller and the Supplier is the Processor of the following Personal Data:</w:t>
            </w:r>
          </w:p>
          <w:p w:rsidR="00A024FE" w:rsidRDefault="00A024FE">
            <w:pPr>
              <w:rPr>
                <w:rFonts w:ascii="Arial" w:eastAsia="Arial" w:hAnsi="Arial" w:cs="Arial"/>
                <w:sz w:val="24"/>
                <w:szCs w:val="24"/>
              </w:rPr>
            </w:pPr>
          </w:p>
          <w:p w:rsidR="00A024FE" w:rsidRDefault="003E3EC5">
            <w:pPr>
              <w:numPr>
                <w:ilvl w:val="0"/>
                <w:numId w:val="11"/>
              </w:numPr>
              <w:pBdr>
                <w:top w:val="nil"/>
                <w:left w:val="nil"/>
                <w:bottom w:val="nil"/>
                <w:right w:val="nil"/>
                <w:between w:val="nil"/>
              </w:pBdr>
              <w:jc w:val="both"/>
              <w:rPr>
                <w:rFonts w:ascii="Arial" w:eastAsia="Arial" w:hAnsi="Arial" w:cs="Arial"/>
                <w:i/>
                <w:sz w:val="24"/>
                <w:szCs w:val="24"/>
              </w:rPr>
            </w:pPr>
            <w:r>
              <w:rPr>
                <w:rFonts w:ascii="Arial" w:eastAsia="Arial" w:hAnsi="Arial" w:cs="Arial"/>
                <w:b/>
                <w:i/>
                <w:sz w:val="24"/>
                <w:szCs w:val="24"/>
                <w:highlight w:val="yellow"/>
              </w:rPr>
              <w:t>[Insert</w:t>
            </w:r>
            <w:r>
              <w:rPr>
                <w:rFonts w:ascii="Arial" w:eastAsia="Arial" w:hAnsi="Arial" w:cs="Arial"/>
                <w:b/>
                <w:i/>
                <w:sz w:val="24"/>
                <w:szCs w:val="24"/>
              </w:rPr>
              <w:t xml:space="preserve"> </w:t>
            </w:r>
            <w:r>
              <w:rPr>
                <w:rFonts w:ascii="Arial" w:eastAsia="Arial" w:hAnsi="Arial" w:cs="Arial"/>
                <w:i/>
                <w:sz w:val="24"/>
                <w:szCs w:val="24"/>
              </w:rPr>
              <w:t>the scope of Personal Data which the purposes and means of the Processing by the Supplier is determined by the Relevant Authority]</w:t>
            </w:r>
          </w:p>
          <w:p w:rsidR="00A024FE" w:rsidRDefault="00A024FE">
            <w:pPr>
              <w:rPr>
                <w:rFonts w:ascii="Arial" w:eastAsia="Arial" w:hAnsi="Arial" w:cs="Arial"/>
                <w:sz w:val="24"/>
                <w:szCs w:val="24"/>
              </w:rPr>
            </w:pPr>
          </w:p>
          <w:p w:rsidR="00A024FE" w:rsidRDefault="003E3EC5">
            <w:pPr>
              <w:rPr>
                <w:rFonts w:ascii="Arial" w:eastAsia="Arial" w:hAnsi="Arial" w:cs="Arial"/>
                <w:b/>
                <w:sz w:val="24"/>
                <w:szCs w:val="24"/>
              </w:rPr>
            </w:pPr>
            <w:r>
              <w:rPr>
                <w:rFonts w:ascii="Arial" w:eastAsia="Arial" w:hAnsi="Arial" w:cs="Arial"/>
                <w:b/>
                <w:sz w:val="24"/>
                <w:szCs w:val="24"/>
              </w:rPr>
              <w:t>The Supplier is Controller and the Relevant Authority is Processor</w:t>
            </w:r>
          </w:p>
          <w:p w:rsidR="00A024FE" w:rsidRDefault="00A024FE">
            <w:pPr>
              <w:rPr>
                <w:rFonts w:ascii="Arial" w:eastAsia="Arial" w:hAnsi="Arial" w:cs="Arial"/>
                <w:i/>
                <w:sz w:val="24"/>
                <w:szCs w:val="24"/>
              </w:rPr>
            </w:pPr>
          </w:p>
          <w:p w:rsidR="00A024FE" w:rsidRDefault="003E3EC5">
            <w:pPr>
              <w:rPr>
                <w:rFonts w:ascii="Arial" w:eastAsia="Arial" w:hAnsi="Arial" w:cs="Arial"/>
                <w:i/>
                <w:sz w:val="24"/>
                <w:szCs w:val="24"/>
              </w:rPr>
            </w:pPr>
            <w:r>
              <w:rPr>
                <w:rFonts w:ascii="Arial" w:eastAsia="Arial" w:hAnsi="Arial" w:cs="Arial"/>
                <w:i/>
                <w:sz w:val="24"/>
                <w:szCs w:val="24"/>
              </w:rPr>
              <w:t xml:space="preserve">The Parties acknowledge that for the purposes of the Data Protection Legislation, the Supplier is the Controller and the Relevant Authority is the Processor in accordance with paragraph </w:t>
            </w:r>
            <w:r>
              <w:rPr>
                <w:rFonts w:ascii="Arial" w:eastAsia="Arial" w:hAnsi="Arial" w:cs="Arial"/>
                <w:sz w:val="24"/>
                <w:szCs w:val="24"/>
              </w:rPr>
              <w:t xml:space="preserve">3 </w:t>
            </w:r>
            <w:r>
              <w:rPr>
                <w:rFonts w:ascii="Arial" w:eastAsia="Arial" w:hAnsi="Arial" w:cs="Arial"/>
                <w:i/>
                <w:sz w:val="24"/>
                <w:szCs w:val="24"/>
              </w:rPr>
              <w:t>to paragraph 16</w:t>
            </w:r>
            <w:r>
              <w:rPr>
                <w:rFonts w:ascii="Arial" w:eastAsia="Arial" w:hAnsi="Arial" w:cs="Arial"/>
                <w:sz w:val="24"/>
                <w:szCs w:val="24"/>
              </w:rPr>
              <w:t xml:space="preserve"> </w:t>
            </w:r>
            <w:r>
              <w:rPr>
                <w:rFonts w:ascii="Arial" w:eastAsia="Arial" w:hAnsi="Arial" w:cs="Arial"/>
                <w:i/>
                <w:sz w:val="24"/>
                <w:szCs w:val="24"/>
              </w:rPr>
              <w:t>of the following Personal Data:</w:t>
            </w:r>
          </w:p>
          <w:p w:rsidR="00A024FE" w:rsidRDefault="00A024FE">
            <w:pPr>
              <w:rPr>
                <w:rFonts w:ascii="Arial" w:eastAsia="Arial" w:hAnsi="Arial" w:cs="Arial"/>
                <w:sz w:val="24"/>
                <w:szCs w:val="24"/>
              </w:rPr>
            </w:pPr>
          </w:p>
          <w:p w:rsidR="00A024FE" w:rsidRDefault="003E3EC5">
            <w:pPr>
              <w:numPr>
                <w:ilvl w:val="0"/>
                <w:numId w:val="11"/>
              </w:numPr>
              <w:pBdr>
                <w:top w:val="nil"/>
                <w:left w:val="nil"/>
                <w:bottom w:val="nil"/>
                <w:right w:val="nil"/>
                <w:between w:val="nil"/>
              </w:pBdr>
              <w:jc w:val="both"/>
              <w:rPr>
                <w:rFonts w:ascii="Arial" w:eastAsia="Arial" w:hAnsi="Arial" w:cs="Arial"/>
                <w:i/>
                <w:sz w:val="24"/>
                <w:szCs w:val="24"/>
              </w:rPr>
            </w:pPr>
            <w:r>
              <w:rPr>
                <w:rFonts w:ascii="Arial" w:eastAsia="Arial" w:hAnsi="Arial" w:cs="Arial"/>
                <w:b/>
                <w:i/>
                <w:sz w:val="24"/>
                <w:szCs w:val="24"/>
                <w:highlight w:val="yellow"/>
              </w:rPr>
              <w:t>[Insert</w:t>
            </w:r>
            <w:r>
              <w:rPr>
                <w:rFonts w:ascii="Arial" w:eastAsia="Arial" w:hAnsi="Arial" w:cs="Arial"/>
                <w:b/>
                <w:i/>
                <w:sz w:val="24"/>
                <w:szCs w:val="24"/>
              </w:rPr>
              <w:t xml:space="preserve"> </w:t>
            </w:r>
            <w:r>
              <w:rPr>
                <w:rFonts w:ascii="Arial" w:eastAsia="Arial" w:hAnsi="Arial" w:cs="Arial"/>
                <w:i/>
                <w:sz w:val="24"/>
                <w:szCs w:val="24"/>
              </w:rPr>
              <w:t>the scope of Personal Data which the purposes and means of the Processing by the Relevant Authority  is determined by the Supplier]</w:t>
            </w:r>
          </w:p>
          <w:p w:rsidR="00A024FE" w:rsidRDefault="00A024FE">
            <w:pPr>
              <w:rPr>
                <w:rFonts w:ascii="Arial" w:eastAsia="Arial" w:hAnsi="Arial" w:cs="Arial"/>
                <w:sz w:val="24"/>
                <w:szCs w:val="24"/>
                <w:highlight w:val="yellow"/>
              </w:rPr>
            </w:pPr>
          </w:p>
          <w:p w:rsidR="00A024FE" w:rsidRDefault="003E3EC5">
            <w:pPr>
              <w:rPr>
                <w:rFonts w:ascii="Arial" w:eastAsia="Arial" w:hAnsi="Arial" w:cs="Arial"/>
                <w:b/>
                <w:sz w:val="24"/>
                <w:szCs w:val="24"/>
              </w:rPr>
            </w:pPr>
            <w:r>
              <w:rPr>
                <w:rFonts w:ascii="Arial" w:eastAsia="Arial" w:hAnsi="Arial" w:cs="Arial"/>
                <w:b/>
                <w:sz w:val="24"/>
                <w:szCs w:val="24"/>
              </w:rPr>
              <w:t>The Parties are Joint Controllers</w:t>
            </w:r>
          </w:p>
          <w:p w:rsidR="00A024FE" w:rsidRDefault="00A024FE">
            <w:pPr>
              <w:rPr>
                <w:rFonts w:ascii="Arial" w:eastAsia="Arial" w:hAnsi="Arial" w:cs="Arial"/>
                <w:i/>
                <w:sz w:val="24"/>
                <w:szCs w:val="24"/>
              </w:rPr>
            </w:pPr>
          </w:p>
          <w:p w:rsidR="00A024FE" w:rsidRDefault="003E3EC5">
            <w:pPr>
              <w:rPr>
                <w:rFonts w:ascii="Arial" w:eastAsia="Arial" w:hAnsi="Arial" w:cs="Arial"/>
                <w:i/>
                <w:sz w:val="24"/>
                <w:szCs w:val="24"/>
              </w:rPr>
            </w:pPr>
            <w:r>
              <w:rPr>
                <w:rFonts w:ascii="Arial" w:eastAsia="Arial" w:hAnsi="Arial" w:cs="Arial"/>
                <w:i/>
                <w:sz w:val="24"/>
                <w:szCs w:val="24"/>
              </w:rPr>
              <w:t>The Parties acknowledge that they are Joint Controllers for the purposes of the Data Protection Legislation in respect of:</w:t>
            </w:r>
          </w:p>
          <w:p w:rsidR="00A024FE" w:rsidRDefault="00A024FE">
            <w:pPr>
              <w:rPr>
                <w:rFonts w:ascii="Arial" w:eastAsia="Arial" w:hAnsi="Arial" w:cs="Arial"/>
                <w:b/>
                <w:i/>
                <w:sz w:val="24"/>
                <w:szCs w:val="24"/>
                <w:highlight w:val="yellow"/>
              </w:rPr>
            </w:pPr>
          </w:p>
          <w:p w:rsidR="00A024FE" w:rsidRDefault="003E3EC5">
            <w:pPr>
              <w:numPr>
                <w:ilvl w:val="0"/>
                <w:numId w:val="10"/>
              </w:numPr>
              <w:pBdr>
                <w:top w:val="nil"/>
                <w:left w:val="nil"/>
                <w:bottom w:val="nil"/>
                <w:right w:val="nil"/>
                <w:between w:val="nil"/>
              </w:pBdr>
              <w:jc w:val="both"/>
              <w:rPr>
                <w:rFonts w:ascii="Arial" w:eastAsia="Arial" w:hAnsi="Arial" w:cs="Arial"/>
                <w:i/>
                <w:sz w:val="24"/>
                <w:szCs w:val="24"/>
              </w:rPr>
            </w:pPr>
            <w:r>
              <w:rPr>
                <w:rFonts w:ascii="Arial" w:eastAsia="Arial" w:hAnsi="Arial" w:cs="Arial"/>
                <w:b/>
                <w:i/>
                <w:sz w:val="24"/>
                <w:szCs w:val="24"/>
                <w:highlight w:val="yellow"/>
              </w:rPr>
              <w:t>[Insert</w:t>
            </w:r>
            <w:r>
              <w:rPr>
                <w:rFonts w:ascii="Arial" w:eastAsia="Arial" w:hAnsi="Arial" w:cs="Arial"/>
                <w:b/>
                <w:i/>
                <w:sz w:val="24"/>
                <w:szCs w:val="24"/>
              </w:rPr>
              <w:t xml:space="preserve"> </w:t>
            </w:r>
            <w:r>
              <w:rPr>
                <w:rFonts w:ascii="Arial" w:eastAsia="Arial" w:hAnsi="Arial" w:cs="Arial"/>
                <w:i/>
                <w:sz w:val="24"/>
                <w:szCs w:val="24"/>
              </w:rPr>
              <w:t>the scope of Personal Data which the purposes and means of the Processing is determined by the both Parties together]</w:t>
            </w:r>
          </w:p>
          <w:p w:rsidR="00A024FE" w:rsidRDefault="00A024FE">
            <w:pPr>
              <w:rPr>
                <w:rFonts w:ascii="Arial" w:eastAsia="Arial" w:hAnsi="Arial" w:cs="Arial"/>
                <w:i/>
                <w:sz w:val="24"/>
                <w:szCs w:val="24"/>
              </w:rPr>
            </w:pPr>
          </w:p>
          <w:p w:rsidR="00A024FE" w:rsidRDefault="003E3EC5">
            <w:pPr>
              <w:rPr>
                <w:rFonts w:ascii="Arial" w:eastAsia="Arial" w:hAnsi="Arial" w:cs="Arial"/>
                <w:i/>
                <w:sz w:val="24"/>
                <w:szCs w:val="24"/>
              </w:rPr>
            </w:pPr>
            <w:r>
              <w:rPr>
                <w:rFonts w:ascii="Arial" w:eastAsia="Arial" w:hAnsi="Arial" w:cs="Arial"/>
                <w:i/>
                <w:sz w:val="24"/>
                <w:szCs w:val="24"/>
              </w:rPr>
              <w:lastRenderedPageBreak/>
              <w:t xml:space="preserve"> </w:t>
            </w:r>
          </w:p>
          <w:p w:rsidR="00A024FE" w:rsidRDefault="003E3EC5">
            <w:pPr>
              <w:rPr>
                <w:rFonts w:ascii="Arial" w:eastAsia="Arial" w:hAnsi="Arial" w:cs="Arial"/>
                <w:b/>
                <w:sz w:val="24"/>
                <w:szCs w:val="24"/>
              </w:rPr>
            </w:pPr>
            <w:r>
              <w:rPr>
                <w:rFonts w:ascii="Arial" w:eastAsia="Arial" w:hAnsi="Arial" w:cs="Arial"/>
                <w:b/>
                <w:sz w:val="24"/>
                <w:szCs w:val="24"/>
              </w:rPr>
              <w:t>The Parties are Independent Controllers of Personal Data</w:t>
            </w:r>
          </w:p>
          <w:p w:rsidR="00A024FE" w:rsidRDefault="00A024FE">
            <w:pPr>
              <w:rPr>
                <w:rFonts w:ascii="Arial" w:eastAsia="Arial" w:hAnsi="Arial" w:cs="Arial"/>
                <w:b/>
                <w:i/>
                <w:sz w:val="24"/>
                <w:szCs w:val="24"/>
                <w:highlight w:val="yellow"/>
              </w:rPr>
            </w:pPr>
          </w:p>
          <w:p w:rsidR="00A024FE" w:rsidRDefault="003E3EC5">
            <w:pPr>
              <w:rPr>
                <w:rFonts w:ascii="Arial" w:eastAsia="Arial" w:hAnsi="Arial" w:cs="Arial"/>
                <w:i/>
                <w:sz w:val="24"/>
                <w:szCs w:val="24"/>
              </w:rPr>
            </w:pPr>
            <w:r>
              <w:rPr>
                <w:rFonts w:ascii="Arial" w:eastAsia="Arial" w:hAnsi="Arial" w:cs="Arial"/>
                <w:i/>
                <w:sz w:val="24"/>
                <w:szCs w:val="24"/>
              </w:rPr>
              <w:t>The Parties acknowledge that they are Independent Controllers for the purposes of the Data Protection Legislation in respect of:</w:t>
            </w:r>
          </w:p>
          <w:p w:rsidR="00A024FE" w:rsidRDefault="003E3EC5">
            <w:pPr>
              <w:numPr>
                <w:ilvl w:val="0"/>
                <w:numId w:val="6"/>
              </w:numPr>
              <w:pBdr>
                <w:top w:val="nil"/>
                <w:left w:val="nil"/>
                <w:bottom w:val="nil"/>
                <w:right w:val="nil"/>
                <w:between w:val="nil"/>
              </w:pBdr>
              <w:jc w:val="both"/>
              <w:rPr>
                <w:rFonts w:ascii="Arial" w:eastAsia="Arial" w:hAnsi="Arial" w:cs="Arial"/>
                <w:i/>
                <w:sz w:val="24"/>
                <w:szCs w:val="24"/>
              </w:rPr>
            </w:pPr>
            <w:r>
              <w:rPr>
                <w:rFonts w:ascii="Arial" w:eastAsia="Arial" w:hAnsi="Arial" w:cs="Arial"/>
                <w:i/>
                <w:sz w:val="24"/>
                <w:szCs w:val="24"/>
              </w:rPr>
              <w:t>Business contact details of Supplier Personnel for which the Supplier is the Controller,</w:t>
            </w:r>
          </w:p>
          <w:p w:rsidR="00A024FE" w:rsidRDefault="003E3EC5">
            <w:pPr>
              <w:numPr>
                <w:ilvl w:val="0"/>
                <w:numId w:val="6"/>
              </w:numPr>
              <w:pBdr>
                <w:top w:val="nil"/>
                <w:left w:val="nil"/>
                <w:bottom w:val="nil"/>
                <w:right w:val="nil"/>
                <w:between w:val="nil"/>
              </w:pBdr>
              <w:jc w:val="both"/>
              <w:rPr>
                <w:rFonts w:ascii="Arial" w:eastAsia="Arial" w:hAnsi="Arial" w:cs="Arial"/>
                <w:i/>
                <w:sz w:val="24"/>
                <w:szCs w:val="24"/>
              </w:rPr>
            </w:pPr>
            <w:r>
              <w:rPr>
                <w:rFonts w:ascii="Arial" w:eastAsia="Arial" w:hAnsi="Arial" w:cs="Arial"/>
                <w:i/>
                <w:sz w:val="24"/>
                <w:szCs w:val="24"/>
              </w:rPr>
              <w:t>Business contact details of any</w:t>
            </w:r>
            <w:r>
              <w:rPr>
                <w:rFonts w:ascii="Arial" w:eastAsia="Arial" w:hAnsi="Arial" w:cs="Arial"/>
                <w:sz w:val="24"/>
                <w:szCs w:val="24"/>
              </w:rPr>
              <w:t xml:space="preserve"> </w:t>
            </w:r>
            <w:r>
              <w:rPr>
                <w:rFonts w:ascii="Arial" w:eastAsia="Arial" w:hAnsi="Arial" w:cs="Arial"/>
                <w:i/>
                <w:sz w:val="24"/>
                <w:szCs w:val="24"/>
              </w:rPr>
              <w:t>directors, officers, employees, agents, consultants and contractors of Relevant Authority (excluding the Supplier Personnel) engaged in</w:t>
            </w:r>
            <w:r>
              <w:rPr>
                <w:rFonts w:ascii="Arial" w:eastAsia="Arial" w:hAnsi="Arial" w:cs="Arial"/>
                <w:i/>
                <w:sz w:val="24"/>
                <w:szCs w:val="24"/>
              </w:rPr>
              <w:t xml:space="preserve"> the performance of the Relevant Authority’s duties under the Contract) for which the Relevant Authority is the Controller,</w:t>
            </w:r>
          </w:p>
          <w:p w:rsidR="00A024FE" w:rsidRDefault="003E3EC5">
            <w:pPr>
              <w:numPr>
                <w:ilvl w:val="0"/>
                <w:numId w:val="6"/>
              </w:numPr>
              <w:pBdr>
                <w:top w:val="nil"/>
                <w:left w:val="nil"/>
                <w:bottom w:val="nil"/>
                <w:right w:val="nil"/>
                <w:between w:val="nil"/>
              </w:pBdr>
              <w:jc w:val="both"/>
              <w:rPr>
                <w:rFonts w:ascii="Arial" w:eastAsia="Arial" w:hAnsi="Arial" w:cs="Arial"/>
                <w:i/>
                <w:sz w:val="24"/>
                <w:szCs w:val="24"/>
              </w:rPr>
            </w:pPr>
            <w:r>
              <w:rPr>
                <w:rFonts w:ascii="Arial" w:eastAsia="Arial" w:hAnsi="Arial" w:cs="Arial"/>
                <w:b/>
                <w:i/>
                <w:sz w:val="24"/>
                <w:szCs w:val="24"/>
                <w:highlight w:val="yellow"/>
              </w:rPr>
              <w:t>[Insert</w:t>
            </w:r>
            <w:r>
              <w:rPr>
                <w:rFonts w:ascii="Arial" w:eastAsia="Arial" w:hAnsi="Arial" w:cs="Arial"/>
                <w:b/>
                <w:i/>
                <w:sz w:val="24"/>
                <w:szCs w:val="24"/>
              </w:rPr>
              <w:t xml:space="preserve"> </w:t>
            </w:r>
            <w:r>
              <w:rPr>
                <w:rFonts w:ascii="Arial" w:eastAsia="Arial" w:hAnsi="Arial" w:cs="Arial"/>
                <w:i/>
                <w:sz w:val="24"/>
                <w:szCs w:val="24"/>
              </w:rPr>
              <w:t>the scope of other Personal Data provided by one Party who is Controller to the other Party who will separately determine th</w:t>
            </w:r>
            <w:r>
              <w:rPr>
                <w:rFonts w:ascii="Arial" w:eastAsia="Arial" w:hAnsi="Arial" w:cs="Arial"/>
                <w:i/>
                <w:sz w:val="24"/>
                <w:szCs w:val="24"/>
              </w:rPr>
              <w:t xml:space="preserve">e nature and purposes of its Processing the Personal Data on receipt e.g. where (1) the Supplier has professional or regulatory obligations in respect of Personal Data received, (2) a standardised service is such that the Relevant Authority cannot dictate </w:t>
            </w:r>
            <w:r>
              <w:rPr>
                <w:rFonts w:ascii="Arial" w:eastAsia="Arial" w:hAnsi="Arial" w:cs="Arial"/>
                <w:i/>
                <w:sz w:val="24"/>
                <w:szCs w:val="24"/>
              </w:rPr>
              <w:t xml:space="preserve">the way in which Personal Data is processed by the Supplier, or (3) where the  Supplier comes to the transaction with Personal Data for which it is already Controller for use by the Relevant Authority] </w:t>
            </w:r>
          </w:p>
          <w:p w:rsidR="00A024FE" w:rsidRDefault="003E3EC5">
            <w:pPr>
              <w:rPr>
                <w:rFonts w:ascii="Arial" w:eastAsia="Arial" w:hAnsi="Arial" w:cs="Arial"/>
                <w:i/>
                <w:sz w:val="24"/>
                <w:szCs w:val="24"/>
              </w:rPr>
            </w:pPr>
            <w:r>
              <w:rPr>
                <w:rFonts w:ascii="Arial" w:eastAsia="Arial" w:hAnsi="Arial" w:cs="Arial"/>
                <w:i/>
                <w:sz w:val="24"/>
                <w:szCs w:val="24"/>
              </w:rPr>
              <w:t xml:space="preserve"> </w:t>
            </w:r>
          </w:p>
          <w:p w:rsidR="00A024FE" w:rsidRDefault="003E3EC5">
            <w:pPr>
              <w:rPr>
                <w:rFonts w:ascii="Arial" w:eastAsia="Arial" w:hAnsi="Arial" w:cs="Arial"/>
                <w:i/>
                <w:sz w:val="24"/>
                <w:szCs w:val="24"/>
              </w:rPr>
            </w:pPr>
            <w:r>
              <w:rPr>
                <w:rFonts w:ascii="Arial" w:eastAsia="Arial" w:hAnsi="Arial" w:cs="Arial"/>
                <w:b/>
                <w:i/>
                <w:sz w:val="24"/>
                <w:szCs w:val="24"/>
                <w:highlight w:val="yellow"/>
              </w:rPr>
              <w:t>[Guidance</w:t>
            </w:r>
            <w:r>
              <w:rPr>
                <w:rFonts w:ascii="Arial" w:eastAsia="Arial" w:hAnsi="Arial" w:cs="Arial"/>
                <w:b/>
                <w:i/>
                <w:sz w:val="24"/>
                <w:szCs w:val="24"/>
              </w:rPr>
              <w:t xml:space="preserve"> </w:t>
            </w:r>
            <w:r>
              <w:rPr>
                <w:rFonts w:ascii="Arial" w:eastAsia="Arial" w:hAnsi="Arial" w:cs="Arial"/>
                <w:i/>
                <w:sz w:val="24"/>
                <w:szCs w:val="24"/>
              </w:rPr>
              <w:t xml:space="preserve">where multiple relationships have been identified above, please address the below rows in the table for in respect of each relationship identified] </w:t>
            </w:r>
          </w:p>
          <w:p w:rsidR="00A024FE" w:rsidRDefault="00A024FE">
            <w:pPr>
              <w:rPr>
                <w:rFonts w:ascii="Arial" w:eastAsia="Arial" w:hAnsi="Arial" w:cs="Arial"/>
                <w:sz w:val="24"/>
                <w:szCs w:val="24"/>
              </w:rPr>
            </w:pPr>
          </w:p>
        </w:tc>
      </w:tr>
      <w:tr w:rsidR="00A024FE">
        <w:trPr>
          <w:trHeight w:val="1460"/>
        </w:trPr>
        <w:tc>
          <w:tcPr>
            <w:tcW w:w="2263" w:type="dxa"/>
            <w:shd w:val="clear" w:color="auto" w:fill="auto"/>
          </w:tcPr>
          <w:p w:rsidR="00A024FE" w:rsidRDefault="003E3EC5">
            <w:pPr>
              <w:rPr>
                <w:rFonts w:ascii="Arial" w:eastAsia="Arial" w:hAnsi="Arial" w:cs="Arial"/>
                <w:sz w:val="24"/>
                <w:szCs w:val="24"/>
              </w:rPr>
            </w:pPr>
            <w:r>
              <w:rPr>
                <w:rFonts w:ascii="Arial" w:eastAsia="Arial" w:hAnsi="Arial" w:cs="Arial"/>
                <w:sz w:val="24"/>
                <w:szCs w:val="24"/>
              </w:rPr>
              <w:lastRenderedPageBreak/>
              <w:t>Duration of the Processing</w:t>
            </w:r>
          </w:p>
        </w:tc>
        <w:tc>
          <w:tcPr>
            <w:tcW w:w="7423" w:type="dxa"/>
            <w:shd w:val="clear" w:color="auto" w:fill="auto"/>
          </w:tcPr>
          <w:p w:rsidR="00A024FE" w:rsidRDefault="003E3EC5">
            <w:pPr>
              <w:rPr>
                <w:rFonts w:ascii="Arial" w:eastAsia="Arial" w:hAnsi="Arial" w:cs="Arial"/>
                <w:sz w:val="24"/>
                <w:szCs w:val="24"/>
              </w:rPr>
            </w:pPr>
            <w:r>
              <w:rPr>
                <w:rFonts w:ascii="Arial" w:eastAsia="Arial" w:hAnsi="Arial" w:cs="Arial"/>
                <w:i/>
                <w:sz w:val="24"/>
                <w:szCs w:val="24"/>
              </w:rPr>
              <w:t>[Clearly set out the duration of the Processing including dates]</w:t>
            </w:r>
          </w:p>
        </w:tc>
      </w:tr>
      <w:tr w:rsidR="00A024FE">
        <w:trPr>
          <w:trHeight w:val="1520"/>
        </w:trPr>
        <w:tc>
          <w:tcPr>
            <w:tcW w:w="2263" w:type="dxa"/>
            <w:shd w:val="clear" w:color="auto" w:fill="auto"/>
          </w:tcPr>
          <w:p w:rsidR="00A024FE" w:rsidRDefault="003E3EC5">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rsidR="00A024FE" w:rsidRDefault="003E3EC5">
            <w:pPr>
              <w:rPr>
                <w:rFonts w:ascii="Arial" w:eastAsia="Arial" w:hAnsi="Arial" w:cs="Arial"/>
                <w:i/>
                <w:sz w:val="24"/>
                <w:szCs w:val="24"/>
              </w:rPr>
            </w:pPr>
            <w:r>
              <w:rPr>
                <w:rFonts w:ascii="Arial" w:eastAsia="Arial" w:hAnsi="Arial" w:cs="Arial"/>
                <w:i/>
                <w:sz w:val="24"/>
                <w:szCs w:val="24"/>
              </w:rPr>
              <w:t xml:space="preserve">[Please be as specific as possible, but make sure that you cover all intended purposes. </w:t>
            </w:r>
          </w:p>
          <w:p w:rsidR="00A024FE" w:rsidRDefault="003E3EC5">
            <w:pPr>
              <w:rPr>
                <w:rFonts w:ascii="Arial" w:eastAsia="Arial" w:hAnsi="Arial" w:cs="Arial"/>
                <w:i/>
                <w:sz w:val="24"/>
                <w:szCs w:val="24"/>
              </w:rPr>
            </w:pPr>
            <w:r>
              <w:rPr>
                <w:rFonts w:ascii="Arial" w:eastAsia="Arial" w:hAnsi="Arial" w:cs="Arial"/>
                <w:i/>
                <w:sz w:val="24"/>
                <w:szCs w:val="24"/>
              </w:rPr>
              <w:t>The nature of the Processing means any operation such as collection, recording, organisation, structuring, storage, adaptation or</w:t>
            </w:r>
            <w:r>
              <w:rPr>
                <w:rFonts w:ascii="Arial" w:eastAsia="Arial" w:hAnsi="Arial" w:cs="Arial"/>
                <w:i/>
                <w:sz w:val="24"/>
                <w:szCs w:val="24"/>
              </w:rPr>
              <w:t xml:space="preserve"> alteration, retrieval, consultation, use, disclosure by transmission, dissemination or otherwise making available, alignment or combination, restriction, erasure or destruction of data (whether or not by automated means) etc.</w:t>
            </w:r>
          </w:p>
          <w:p w:rsidR="00A024FE" w:rsidRDefault="003E3EC5">
            <w:pPr>
              <w:rPr>
                <w:rFonts w:ascii="Arial" w:eastAsia="Arial" w:hAnsi="Arial" w:cs="Arial"/>
                <w:sz w:val="24"/>
                <w:szCs w:val="24"/>
              </w:rPr>
            </w:pPr>
            <w:r>
              <w:rPr>
                <w:rFonts w:ascii="Arial" w:eastAsia="Arial" w:hAnsi="Arial" w:cs="Arial"/>
                <w:i/>
                <w:sz w:val="24"/>
                <w:szCs w:val="24"/>
              </w:rPr>
              <w:t>The purpose might include: em</w:t>
            </w:r>
            <w:r>
              <w:rPr>
                <w:rFonts w:ascii="Arial" w:eastAsia="Arial" w:hAnsi="Arial" w:cs="Arial"/>
                <w:i/>
                <w:sz w:val="24"/>
                <w:szCs w:val="24"/>
              </w:rPr>
              <w:t>ployment processing, statutory obligation, recruitment assessment etc]</w:t>
            </w:r>
          </w:p>
        </w:tc>
      </w:tr>
      <w:tr w:rsidR="00A024FE">
        <w:trPr>
          <w:trHeight w:val="1400"/>
        </w:trPr>
        <w:tc>
          <w:tcPr>
            <w:tcW w:w="2263" w:type="dxa"/>
            <w:shd w:val="clear" w:color="auto" w:fill="auto"/>
          </w:tcPr>
          <w:p w:rsidR="00A024FE" w:rsidRDefault="003E3EC5">
            <w:pPr>
              <w:rPr>
                <w:rFonts w:ascii="Arial" w:eastAsia="Arial" w:hAnsi="Arial" w:cs="Arial"/>
                <w:sz w:val="24"/>
                <w:szCs w:val="24"/>
              </w:rPr>
            </w:pPr>
            <w:r>
              <w:rPr>
                <w:rFonts w:ascii="Arial" w:eastAsia="Arial" w:hAnsi="Arial" w:cs="Arial"/>
                <w:sz w:val="24"/>
                <w:szCs w:val="24"/>
              </w:rPr>
              <w:t>Type of Personal Data</w:t>
            </w:r>
          </w:p>
        </w:tc>
        <w:tc>
          <w:tcPr>
            <w:tcW w:w="7423" w:type="dxa"/>
            <w:shd w:val="clear" w:color="auto" w:fill="auto"/>
          </w:tcPr>
          <w:p w:rsidR="00A024FE" w:rsidRDefault="003E3EC5">
            <w:pPr>
              <w:rPr>
                <w:rFonts w:ascii="Arial" w:eastAsia="Arial" w:hAnsi="Arial" w:cs="Arial"/>
                <w:sz w:val="24"/>
                <w:szCs w:val="24"/>
              </w:rPr>
            </w:pPr>
            <w:r>
              <w:rPr>
                <w:rFonts w:ascii="Arial" w:eastAsia="Arial" w:hAnsi="Arial" w:cs="Arial"/>
                <w:i/>
                <w:sz w:val="24"/>
                <w:szCs w:val="24"/>
              </w:rPr>
              <w:t>[Examples here include: name, address, date of birth, NI number, telephone number, pay, images, biometric data etc]</w:t>
            </w:r>
          </w:p>
        </w:tc>
      </w:tr>
      <w:tr w:rsidR="00A024FE">
        <w:trPr>
          <w:trHeight w:val="1560"/>
        </w:trPr>
        <w:tc>
          <w:tcPr>
            <w:tcW w:w="2263" w:type="dxa"/>
            <w:shd w:val="clear" w:color="auto" w:fill="auto"/>
          </w:tcPr>
          <w:p w:rsidR="00A024FE" w:rsidRDefault="003E3EC5">
            <w:pPr>
              <w:rPr>
                <w:rFonts w:ascii="Arial" w:eastAsia="Arial" w:hAnsi="Arial" w:cs="Arial"/>
                <w:sz w:val="24"/>
                <w:szCs w:val="24"/>
              </w:rPr>
            </w:pPr>
            <w:r>
              <w:rPr>
                <w:rFonts w:ascii="Arial" w:eastAsia="Arial" w:hAnsi="Arial" w:cs="Arial"/>
                <w:sz w:val="24"/>
                <w:szCs w:val="24"/>
              </w:rPr>
              <w:lastRenderedPageBreak/>
              <w:t>Categories of Data Subject</w:t>
            </w:r>
          </w:p>
        </w:tc>
        <w:tc>
          <w:tcPr>
            <w:tcW w:w="7423" w:type="dxa"/>
            <w:shd w:val="clear" w:color="auto" w:fill="auto"/>
          </w:tcPr>
          <w:p w:rsidR="00A024FE" w:rsidRDefault="003E3EC5">
            <w:pPr>
              <w:rPr>
                <w:rFonts w:ascii="Arial" w:eastAsia="Arial" w:hAnsi="Arial" w:cs="Arial"/>
                <w:sz w:val="24"/>
                <w:szCs w:val="24"/>
              </w:rPr>
            </w:pPr>
            <w:r>
              <w:rPr>
                <w:rFonts w:ascii="Arial" w:eastAsia="Arial" w:hAnsi="Arial" w:cs="Arial"/>
                <w:i/>
                <w:sz w:val="24"/>
                <w:szCs w:val="24"/>
              </w:rPr>
              <w:t>[Examples include: Staff (including volunteers, agents, and temporary workers), customers/ clients, suppliers, patients, students / pupils, members of the public, users of a particular</w:t>
            </w:r>
            <w:r>
              <w:rPr>
                <w:rFonts w:ascii="Arial" w:eastAsia="Arial" w:hAnsi="Arial" w:cs="Arial"/>
                <w:i/>
                <w:sz w:val="24"/>
                <w:szCs w:val="24"/>
              </w:rPr>
              <w:br/>
              <w:t>website etc]</w:t>
            </w:r>
          </w:p>
        </w:tc>
      </w:tr>
      <w:tr w:rsidR="00A024FE">
        <w:trPr>
          <w:trHeight w:val="1660"/>
        </w:trPr>
        <w:tc>
          <w:tcPr>
            <w:tcW w:w="2263" w:type="dxa"/>
            <w:shd w:val="clear" w:color="auto" w:fill="auto"/>
          </w:tcPr>
          <w:p w:rsidR="00A024FE" w:rsidRDefault="003E3EC5">
            <w:pPr>
              <w:rPr>
                <w:rFonts w:ascii="Arial" w:eastAsia="Arial" w:hAnsi="Arial" w:cs="Arial"/>
                <w:sz w:val="24"/>
                <w:szCs w:val="24"/>
              </w:rPr>
            </w:pPr>
            <w:r>
              <w:rPr>
                <w:rFonts w:ascii="Arial" w:eastAsia="Arial" w:hAnsi="Arial" w:cs="Arial"/>
                <w:sz w:val="24"/>
                <w:szCs w:val="24"/>
              </w:rPr>
              <w:t>Plan for return and destruction of the data once the Proc</w:t>
            </w:r>
            <w:r>
              <w:rPr>
                <w:rFonts w:ascii="Arial" w:eastAsia="Arial" w:hAnsi="Arial" w:cs="Arial"/>
                <w:sz w:val="24"/>
                <w:szCs w:val="24"/>
              </w:rPr>
              <w:t>essing is complete</w:t>
            </w:r>
          </w:p>
          <w:p w:rsidR="00A024FE" w:rsidRDefault="003E3EC5">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rsidR="00A024FE" w:rsidRDefault="003E3EC5">
            <w:pPr>
              <w:rPr>
                <w:rFonts w:ascii="Arial" w:eastAsia="Arial" w:hAnsi="Arial" w:cs="Arial"/>
                <w:sz w:val="24"/>
                <w:szCs w:val="24"/>
              </w:rPr>
            </w:pPr>
            <w:r>
              <w:rPr>
                <w:rFonts w:ascii="Arial" w:eastAsia="Arial" w:hAnsi="Arial" w:cs="Arial"/>
                <w:i/>
                <w:sz w:val="24"/>
                <w:szCs w:val="24"/>
              </w:rPr>
              <w:t>[Describe how long the data will be retained for, how it be returned or destroyed]</w:t>
            </w:r>
          </w:p>
        </w:tc>
      </w:tr>
    </w:tbl>
    <w:p w:rsidR="00A024FE" w:rsidRDefault="00A024FE">
      <w:pPr>
        <w:rPr>
          <w:rFonts w:ascii="Arial" w:eastAsia="Arial" w:hAnsi="Arial" w:cs="Arial"/>
          <w:b/>
          <w:sz w:val="24"/>
          <w:szCs w:val="24"/>
        </w:rPr>
      </w:pPr>
    </w:p>
    <w:p w:rsidR="00A024FE" w:rsidRDefault="003E3EC5">
      <w:pPr>
        <w:rPr>
          <w:rFonts w:ascii="Arial" w:eastAsia="Arial" w:hAnsi="Arial" w:cs="Arial"/>
          <w:b/>
          <w:sz w:val="24"/>
          <w:szCs w:val="24"/>
        </w:rPr>
      </w:pPr>
      <w:r>
        <w:br w:type="page"/>
      </w:r>
    </w:p>
    <w:p w:rsidR="00A024FE" w:rsidRDefault="003E3EC5">
      <w:pPr>
        <w:rPr>
          <w:rFonts w:ascii="Arial" w:eastAsia="Arial" w:hAnsi="Arial" w:cs="Arial"/>
          <w:sz w:val="24"/>
          <w:szCs w:val="24"/>
        </w:rPr>
      </w:pPr>
      <w:r>
        <w:rPr>
          <w:rFonts w:ascii="Arial" w:eastAsia="Arial" w:hAnsi="Arial" w:cs="Arial"/>
          <w:b/>
          <w:sz w:val="24"/>
          <w:szCs w:val="24"/>
        </w:rPr>
        <w:lastRenderedPageBreak/>
        <w:t>Annex 2 - Joint Controller Agreement</w:t>
      </w:r>
    </w:p>
    <w:p w:rsidR="00A024FE" w:rsidRDefault="003E3EC5">
      <w:pPr>
        <w:keepNext/>
        <w:rPr>
          <w:rFonts w:ascii="Arial" w:eastAsia="Arial" w:hAnsi="Arial" w:cs="Arial"/>
          <w:b/>
          <w:sz w:val="24"/>
          <w:szCs w:val="24"/>
        </w:rPr>
      </w:pPr>
      <w:r>
        <w:rPr>
          <w:rFonts w:ascii="Arial" w:eastAsia="Arial" w:hAnsi="Arial" w:cs="Arial"/>
          <w:b/>
          <w:sz w:val="24"/>
          <w:szCs w:val="24"/>
        </w:rPr>
        <w:t xml:space="preserve">1. Joint Controller Status and Allocation of Responsibilities </w:t>
      </w:r>
    </w:p>
    <w:p w:rsidR="00A024FE" w:rsidRDefault="003E3EC5">
      <w:pPr>
        <w:keepNext/>
        <w:rPr>
          <w:rFonts w:ascii="Arial" w:eastAsia="Arial" w:hAnsi="Arial" w:cs="Arial"/>
          <w:sz w:val="24"/>
          <w:szCs w:val="24"/>
        </w:rPr>
      </w:pPr>
      <w:bookmarkStart w:id="16" w:name="_heading=h.gjdgxs" w:colFirst="0" w:colLast="0"/>
      <w:bookmarkEnd w:id="16"/>
      <w:r>
        <w:rPr>
          <w:rFonts w:ascii="Arial" w:eastAsia="Arial" w:hAnsi="Arial" w:cs="Arial"/>
          <w:sz w:val="24"/>
          <w:szCs w:val="24"/>
        </w:rPr>
        <w:t>1.1</w:t>
      </w:r>
      <w:r>
        <w:rPr>
          <w:rFonts w:ascii="Arial" w:eastAsia="Arial" w:hAnsi="Arial" w:cs="Arial"/>
          <w:sz w:val="24"/>
          <w:szCs w:val="24"/>
        </w:rPr>
        <w:tab/>
        <w:t>With respect to Personal Data under Joint Control of the Parties, the Parties envisage that they shall each be a Data Controller in respect of that Personal Data in accordance with the term</w:t>
      </w:r>
      <w:r>
        <w:rPr>
          <w:rFonts w:ascii="Arial" w:eastAsia="Arial" w:hAnsi="Arial" w:cs="Arial"/>
          <w:sz w:val="24"/>
          <w:szCs w:val="24"/>
        </w:rPr>
        <w:t>s of this Annex 2 (Joint Controller Agreement) in replacement of paragraphs 3-16 of Joint Schedule 11 (Where one Party is Controller and the other Party is Processor) and paragraphs 18-28 of Joint Schedule 11 (Independent Controllers of Personal Data). Acc</w:t>
      </w:r>
      <w:r>
        <w:rPr>
          <w:rFonts w:ascii="Arial" w:eastAsia="Arial" w:hAnsi="Arial" w:cs="Arial"/>
          <w:sz w:val="24"/>
          <w:szCs w:val="24"/>
        </w:rPr>
        <w:t xml:space="preserve">ordingly, the Parties each undertake to comply with the applicable Data Protection Legislation in respect of their Processing of such Personal Data as Data Controllers. </w:t>
      </w:r>
    </w:p>
    <w:p w:rsidR="00A024FE" w:rsidRDefault="003E3EC5">
      <w:pPr>
        <w:keepNext/>
        <w:rPr>
          <w:rFonts w:ascii="Arial" w:eastAsia="Arial" w:hAnsi="Arial" w:cs="Arial"/>
          <w:sz w:val="24"/>
          <w:szCs w:val="24"/>
        </w:rPr>
      </w:pPr>
      <w:r>
        <w:rPr>
          <w:rFonts w:ascii="Arial" w:eastAsia="Arial" w:hAnsi="Arial" w:cs="Arial"/>
          <w:sz w:val="24"/>
          <w:szCs w:val="24"/>
          <w:highlight w:val="white"/>
        </w:rPr>
        <w:t xml:space="preserve">1.2 The Parties agree that the </w:t>
      </w:r>
      <w:r>
        <w:rPr>
          <w:rFonts w:ascii="Arial" w:eastAsia="Arial" w:hAnsi="Arial" w:cs="Arial"/>
          <w:sz w:val="24"/>
          <w:szCs w:val="24"/>
          <w:highlight w:val="yellow"/>
        </w:rPr>
        <w:t xml:space="preserve">[Supplier/Relevant Authority]: </w:t>
      </w:r>
    </w:p>
    <w:p w:rsidR="00A024FE" w:rsidRDefault="003E3EC5">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 xml:space="preserve">is the </w:t>
      </w:r>
      <w:r>
        <w:rPr>
          <w:rFonts w:ascii="Arial" w:eastAsia="Arial" w:hAnsi="Arial" w:cs="Arial"/>
          <w:sz w:val="24"/>
          <w:szCs w:val="24"/>
        </w:rPr>
        <w:t>exclusive</w:t>
      </w:r>
      <w:r>
        <w:rPr>
          <w:rFonts w:ascii="Arial" w:eastAsia="Arial" w:hAnsi="Arial" w:cs="Arial"/>
          <w:sz w:val="24"/>
          <w:szCs w:val="24"/>
          <w:highlight w:val="white"/>
        </w:rPr>
        <w:t xml:space="preserve"> point of contact for Data Subjects and is responsible for all steps necessary to comply with the UK GDPR regarding the exercise by Data Subjects of their rights under the UK GDPR;</w:t>
      </w:r>
    </w:p>
    <w:p w:rsidR="00A024FE" w:rsidRDefault="003E3EC5">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shall direct Data Subjects to its Data Protection Officer or suitable alter</w:t>
      </w:r>
      <w:r>
        <w:rPr>
          <w:rFonts w:ascii="Arial" w:eastAsia="Arial" w:hAnsi="Arial" w:cs="Arial"/>
          <w:sz w:val="24"/>
          <w:szCs w:val="24"/>
          <w:highlight w:val="white"/>
        </w:rPr>
        <w:t>native in connection with the exercise of their rights as Data Subjects and for any enquiries concerning their Personal Data or privacy;</w:t>
      </w:r>
    </w:p>
    <w:p w:rsidR="00A024FE" w:rsidRDefault="003E3EC5">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solely responsible for the Parties’ compliance with all duties to provide information to Data Subjects under Article</w:t>
      </w:r>
      <w:r>
        <w:rPr>
          <w:rFonts w:ascii="Arial" w:eastAsia="Arial" w:hAnsi="Arial" w:cs="Arial"/>
          <w:sz w:val="24"/>
          <w:szCs w:val="24"/>
        </w:rPr>
        <w:t>s 13 and 14 of the UK GDPR;</w:t>
      </w:r>
    </w:p>
    <w:p w:rsidR="00A024FE" w:rsidRDefault="003E3EC5">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responsible for obtaining the informed consent of Data Subjects, in accordance with the UK GDPR, for Processing in connection with the Deliverables where consent is the relevant legal basis for that Processing; and</w:t>
      </w:r>
    </w:p>
    <w:p w:rsidR="00A024FE" w:rsidRDefault="003E3EC5">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shall make</w:t>
      </w:r>
      <w:r>
        <w:rPr>
          <w:rFonts w:ascii="Arial" w:eastAsia="Arial" w:hAnsi="Arial" w:cs="Arial"/>
          <w:sz w:val="24"/>
          <w:szCs w:val="24"/>
        </w:rPr>
        <w:t xml:space="preserve"> available to Data Subjects the essence of this Annex (and notify them of any changes to it) concerning the allocation of responsibilities as Joint Controller and its role as exclusive point of contact, the Parties having used their best endeavours to agre</w:t>
      </w:r>
      <w:r>
        <w:rPr>
          <w:rFonts w:ascii="Arial" w:eastAsia="Arial" w:hAnsi="Arial" w:cs="Arial"/>
          <w:sz w:val="24"/>
          <w:szCs w:val="24"/>
        </w:rPr>
        <w:t>e the terms of that essence. This must be outlined in the [Supplier’s/Relevant Authority’s] privacy policy (which must be readily available by hyperlink or otherwise on all of its public facing services and marketing).</w:t>
      </w:r>
    </w:p>
    <w:p w:rsidR="00A024FE" w:rsidRDefault="003E3EC5">
      <w:pPr>
        <w:rPr>
          <w:rFonts w:ascii="Arial" w:eastAsia="Arial" w:hAnsi="Arial" w:cs="Arial"/>
          <w:sz w:val="24"/>
          <w:szCs w:val="24"/>
        </w:rPr>
      </w:pPr>
      <w:r>
        <w:rPr>
          <w:rFonts w:ascii="Arial" w:eastAsia="Arial" w:hAnsi="Arial" w:cs="Arial"/>
          <w:sz w:val="24"/>
          <w:szCs w:val="24"/>
        </w:rPr>
        <w:t>1.3 Notwithstanding the terms of clau</w:t>
      </w:r>
      <w:r>
        <w:rPr>
          <w:rFonts w:ascii="Arial" w:eastAsia="Arial" w:hAnsi="Arial" w:cs="Arial"/>
          <w:sz w:val="24"/>
          <w:szCs w:val="24"/>
        </w:rPr>
        <w:t>se 1.2, the Parties acknowledge that a Data Subject has the right to exercise their legal rights under the Data Protection Legislation as against the relevant Party as Controller.</w:t>
      </w:r>
    </w:p>
    <w:p w:rsidR="00A024FE" w:rsidRDefault="003E3EC5">
      <w:pPr>
        <w:numPr>
          <w:ilvl w:val="2"/>
          <w:numId w:val="8"/>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Undertakings of both Parties</w:t>
      </w:r>
    </w:p>
    <w:p w:rsidR="00A024FE" w:rsidRDefault="003E3EC5">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 and the Relevant Authority each undertake that they shall: </w:t>
      </w:r>
    </w:p>
    <w:p w:rsidR="00A024FE" w:rsidRDefault="003E3EC5">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report to the other Party every </w:t>
      </w:r>
      <w:r>
        <w:rPr>
          <w:rFonts w:ascii="Arial" w:eastAsia="Arial" w:hAnsi="Arial" w:cs="Arial"/>
          <w:sz w:val="24"/>
          <w:szCs w:val="24"/>
          <w:highlight w:val="yellow"/>
        </w:rPr>
        <w:t>[x]</w:t>
      </w:r>
      <w:r>
        <w:rPr>
          <w:rFonts w:ascii="Arial" w:eastAsia="Arial" w:hAnsi="Arial" w:cs="Arial"/>
          <w:sz w:val="24"/>
          <w:szCs w:val="24"/>
        </w:rPr>
        <w:t xml:space="preserve"> months on:</w:t>
      </w:r>
    </w:p>
    <w:p w:rsidR="00A024FE" w:rsidRDefault="003E3EC5">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lastRenderedPageBreak/>
        <w:tab/>
      </w:r>
      <w:r>
        <w:rPr>
          <w:rFonts w:ascii="Arial" w:eastAsia="Arial" w:hAnsi="Arial" w:cs="Arial"/>
          <w:sz w:val="24"/>
          <w:szCs w:val="24"/>
        </w:rPr>
        <w:t>the volume of Data Subject Access Request (or purported Data Subject  Access Requests) from Data Subjects (or third parties on their behalf);</w:t>
      </w:r>
    </w:p>
    <w:p w:rsidR="00A024FE" w:rsidRDefault="003E3EC5">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b/>
        <w:t>the volume of requests from Data Subjects (or third parties on their behalf) to rectify, block or erase any Perso</w:t>
      </w:r>
      <w:r>
        <w:rPr>
          <w:rFonts w:ascii="Arial" w:eastAsia="Arial" w:hAnsi="Arial" w:cs="Arial"/>
          <w:sz w:val="24"/>
          <w:szCs w:val="24"/>
        </w:rPr>
        <w:t xml:space="preserve">nal Data; </w:t>
      </w:r>
    </w:p>
    <w:p w:rsidR="00A024FE" w:rsidRDefault="003E3EC5">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other requests, complaints or communications from Data Subjects (or third parties on their behalf) relating to the other Party’s obligations under applicable Data Protection Legislation;</w:t>
      </w:r>
    </w:p>
    <w:p w:rsidR="00A024FE" w:rsidRDefault="003E3EC5">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communications from the Information Commissioner o</w:t>
      </w:r>
      <w:r>
        <w:rPr>
          <w:rFonts w:ascii="Arial" w:eastAsia="Arial" w:hAnsi="Arial" w:cs="Arial"/>
          <w:sz w:val="24"/>
          <w:szCs w:val="24"/>
        </w:rPr>
        <w:t>r any other regulatory authority in connection with Personal Data; and</w:t>
      </w:r>
    </w:p>
    <w:p w:rsidR="00A024FE" w:rsidRDefault="003E3EC5">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requests from any third party for disclosure of Personal Data where compliance with such request is required or purported to be required by Law,</w:t>
      </w:r>
    </w:p>
    <w:p w:rsidR="00A024FE" w:rsidRDefault="003E3EC5">
      <w:pPr>
        <w:ind w:left="720"/>
        <w:rPr>
          <w:rFonts w:ascii="Arial" w:eastAsia="Arial" w:hAnsi="Arial" w:cs="Arial"/>
          <w:sz w:val="24"/>
          <w:szCs w:val="24"/>
        </w:rPr>
      </w:pPr>
      <w:r>
        <w:rPr>
          <w:rFonts w:ascii="Arial" w:eastAsia="Arial" w:hAnsi="Arial" w:cs="Arial"/>
          <w:sz w:val="24"/>
          <w:szCs w:val="24"/>
        </w:rPr>
        <w:t xml:space="preserve">that it has received in relation to </w:t>
      </w:r>
      <w:r>
        <w:rPr>
          <w:rFonts w:ascii="Arial" w:eastAsia="Arial" w:hAnsi="Arial" w:cs="Arial"/>
          <w:sz w:val="24"/>
          <w:szCs w:val="24"/>
        </w:rPr>
        <w:t xml:space="preserve">the subject matter of the Contract during that period; </w:t>
      </w:r>
    </w:p>
    <w:p w:rsidR="00A024FE" w:rsidRDefault="003E3EC5">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notify each other immediately if it receives any request, complaint or communication made as referred to in Clauses 2.1(a)(i) to (v); </w:t>
      </w:r>
    </w:p>
    <w:p w:rsidR="00A024FE" w:rsidRDefault="003E3EC5">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the other Party with full cooperation and assistance in relation to any request, complaint or communication made as referred to in Clauses 2.1(a)(iii) to (v) to enable the other Party to comply with the relevant timescales set out in the Data Prote</w:t>
      </w:r>
      <w:r>
        <w:rPr>
          <w:rFonts w:ascii="Arial" w:eastAsia="Arial" w:hAnsi="Arial" w:cs="Arial"/>
          <w:sz w:val="24"/>
          <w:szCs w:val="24"/>
        </w:rPr>
        <w:t>ction Legislation;</w:t>
      </w:r>
    </w:p>
    <w:p w:rsidR="00A024FE" w:rsidRDefault="003E3EC5">
      <w:pPr>
        <w:numPr>
          <w:ilvl w:val="2"/>
          <w:numId w:val="12"/>
        </w:numPr>
        <w:pBdr>
          <w:top w:val="nil"/>
          <w:left w:val="nil"/>
          <w:bottom w:val="nil"/>
          <w:right w:val="nil"/>
          <w:between w:val="nil"/>
        </w:pBdr>
        <w:tabs>
          <w:tab w:val="left" w:pos="4395"/>
        </w:tabs>
        <w:spacing w:before="280" w:after="120" w:line="240" w:lineRule="auto"/>
        <w:jc w:val="both"/>
        <w:rPr>
          <w:rFonts w:ascii="Arial" w:eastAsia="Arial" w:hAnsi="Arial" w:cs="Arial"/>
          <w:sz w:val="24"/>
          <w:szCs w:val="24"/>
        </w:rPr>
      </w:pPr>
      <w:r>
        <w:rPr>
          <w:rFonts w:ascii="Arial" w:eastAsia="Arial" w:hAnsi="Arial" w:cs="Arial"/>
          <w:sz w:val="24"/>
          <w:szCs w:val="24"/>
        </w:rPr>
        <w:t>not disclose or transfer the Personal Data to any third party unless necessary for the provision of the Deliverables and, for any disclosure or transfer of Personal Data to any third party, (save where such disclosure or transfer is specifically authorised</w:t>
      </w:r>
      <w:r>
        <w:rPr>
          <w:rFonts w:ascii="Arial" w:eastAsia="Arial" w:hAnsi="Arial" w:cs="Arial"/>
          <w:sz w:val="24"/>
          <w:szCs w:val="24"/>
        </w:rPr>
        <w:t xml:space="preserve"> under the Contract or is required by Law) ensure consent has been obtained from the Data Subject prior to disclosing or transferring the Personal Data to the third party. For the avoidance of doubt, the third party to which Personal Data is transferred mu</w:t>
      </w:r>
      <w:r>
        <w:rPr>
          <w:rFonts w:ascii="Arial" w:eastAsia="Arial" w:hAnsi="Arial" w:cs="Arial"/>
          <w:sz w:val="24"/>
          <w:szCs w:val="24"/>
        </w:rPr>
        <w:t>st be subject to equivalent obligations which are no less onerous than those set out in this Annex;</w:t>
      </w:r>
    </w:p>
    <w:p w:rsidR="00A024FE" w:rsidRDefault="003E3EC5">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request from the Data Subject only the minimum information necessary to provide the Deliverables and treat such extracted information as Confidential Inform</w:t>
      </w:r>
      <w:r>
        <w:rPr>
          <w:rFonts w:ascii="Arial" w:eastAsia="Arial" w:hAnsi="Arial" w:cs="Arial"/>
          <w:sz w:val="24"/>
          <w:szCs w:val="24"/>
        </w:rPr>
        <w:t>ation;</w:t>
      </w:r>
    </w:p>
    <w:p w:rsidR="00A024FE" w:rsidRDefault="003E3EC5">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at all times it has in place appropriate Protective Measures to guard against unauthorised or unlawful Processing of the Personal Data and/or accidental loss, destruction or damage to the Personal Data and unauthorised or unlawful disclo</w:t>
      </w:r>
      <w:r>
        <w:rPr>
          <w:rFonts w:ascii="Arial" w:eastAsia="Arial" w:hAnsi="Arial" w:cs="Arial"/>
          <w:sz w:val="24"/>
          <w:szCs w:val="24"/>
        </w:rPr>
        <w:t>sure of or access to the Personal Data;</w:t>
      </w:r>
    </w:p>
    <w:p w:rsidR="00A024FE" w:rsidRDefault="003E3EC5">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take all reasonable steps to ensure the reliability and integrity of any of its Personnel who have access to the Personal Data and ensure that its Personnel:</w:t>
      </w:r>
    </w:p>
    <w:p w:rsidR="00A024FE" w:rsidRDefault="003E3EC5">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are aware of and comply with their duties under this Annex</w:t>
      </w:r>
      <w:r>
        <w:rPr>
          <w:rFonts w:ascii="Arial" w:eastAsia="Arial" w:hAnsi="Arial" w:cs="Arial"/>
          <w:sz w:val="24"/>
          <w:szCs w:val="24"/>
        </w:rPr>
        <w:t xml:space="preserve"> 2 (Joint Controller Agreement) and those in respect of Confidential Information; </w:t>
      </w:r>
    </w:p>
    <w:p w:rsidR="00A024FE" w:rsidRDefault="003E3EC5">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are informed of the confidential nature of the Personal Data, are subject to appropriate obligations of confidentiality and do not publish, disclose or divulge any of the Pe</w:t>
      </w:r>
      <w:r>
        <w:rPr>
          <w:rFonts w:ascii="Arial" w:eastAsia="Arial" w:hAnsi="Arial" w:cs="Arial"/>
          <w:sz w:val="24"/>
          <w:szCs w:val="24"/>
        </w:rPr>
        <w:t>rsonal Data to any third party where the that Party would not be permitted to do so; and</w:t>
      </w:r>
    </w:p>
    <w:p w:rsidR="00A024FE" w:rsidRDefault="003E3EC5">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have undergone adequate training in the use, care, protection and handling of personal data as required by the applicable Data Protection Legislation;</w:t>
      </w:r>
    </w:p>
    <w:p w:rsidR="00A024FE" w:rsidRDefault="003E3EC5">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w:t>
      </w:r>
      <w:r>
        <w:rPr>
          <w:rFonts w:ascii="Arial" w:eastAsia="Arial" w:hAnsi="Arial" w:cs="Arial"/>
          <w:sz w:val="24"/>
          <w:szCs w:val="24"/>
        </w:rPr>
        <w:t>as in place Protective Measures as appropriate to protect against a Personal Data Breach having taken account of the:</w:t>
      </w:r>
    </w:p>
    <w:p w:rsidR="00A024FE" w:rsidRDefault="003E3EC5">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p>
    <w:p w:rsidR="00A024FE" w:rsidRDefault="003E3EC5">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rsidR="00A024FE" w:rsidRDefault="003E3EC5">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rsidR="00A024FE" w:rsidRDefault="003E3EC5">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cost of implementing any measures;</w:t>
      </w:r>
    </w:p>
    <w:p w:rsidR="00A024FE" w:rsidRDefault="003E3EC5">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the capability (whether technological or otherwise), to the extent required by Data Protection Legislation, to provide or correct or delete at the request of a Data Subject all the Personal Data relatin</w:t>
      </w:r>
      <w:r>
        <w:rPr>
          <w:rFonts w:ascii="Arial" w:eastAsia="Arial" w:hAnsi="Arial" w:cs="Arial"/>
          <w:sz w:val="24"/>
          <w:szCs w:val="24"/>
        </w:rPr>
        <w:t>g to that Data Subject that it holds; and</w:t>
      </w:r>
    </w:p>
    <w:p w:rsidR="00A024FE" w:rsidRDefault="003E3EC5">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ensure that it notifies the other Party as soon as it becomes aware of a Personal Data Breach. </w:t>
      </w:r>
    </w:p>
    <w:p w:rsidR="00A024FE" w:rsidRDefault="003E3EC5">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Joint Controller shall use its reasonable endeavours to assist the other Controller to comply with any obligation</w:t>
      </w:r>
      <w:r>
        <w:rPr>
          <w:rFonts w:ascii="Arial" w:eastAsia="Arial" w:hAnsi="Arial" w:cs="Arial"/>
          <w:color w:val="000000"/>
          <w:sz w:val="24"/>
          <w:szCs w:val="24"/>
        </w:rPr>
        <w:t>s under applicable Data Protection Legislation and shall not perform its obligations under this Annex in such a way as to cause the other Joint Controller to breach any of its obligations under applicable Data Protection Legislation to the extent it is awa</w:t>
      </w:r>
      <w:r>
        <w:rPr>
          <w:rFonts w:ascii="Arial" w:eastAsia="Arial" w:hAnsi="Arial" w:cs="Arial"/>
          <w:color w:val="000000"/>
          <w:sz w:val="24"/>
          <w:szCs w:val="24"/>
        </w:rPr>
        <w:t>re, or ought reasonably to have been aware, that the same would be a breach of such obligations.</w:t>
      </w:r>
    </w:p>
    <w:p w:rsidR="00A024FE" w:rsidRDefault="003E3EC5">
      <w:pPr>
        <w:numPr>
          <w:ilvl w:val="2"/>
          <w:numId w:val="8"/>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Data Protection Breach</w:t>
      </w:r>
    </w:p>
    <w:p w:rsidR="00A024FE" w:rsidRDefault="003E3EC5">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Without prejudice to clause 3.2, each Party shall notify the other Party promptly and without undue delay, and in any event within 48 hours, upon becoming aware of any Personal Data Breach or circumstances that are likely to give rise to a Personal Data Br</w:t>
      </w:r>
      <w:r>
        <w:rPr>
          <w:rFonts w:ascii="Arial" w:eastAsia="Arial" w:hAnsi="Arial" w:cs="Arial"/>
          <w:color w:val="000000"/>
          <w:sz w:val="24"/>
          <w:szCs w:val="24"/>
        </w:rPr>
        <w:t>each, providing the other Party and its advisors with:</w:t>
      </w:r>
    </w:p>
    <w:p w:rsidR="00A024FE" w:rsidRDefault="003E3EC5">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sufficient information and in a timescale which allows the other Party to meet any obligations to report a Personal Data Breach under the Data Protection Legislation; and</w:t>
      </w:r>
    </w:p>
    <w:p w:rsidR="00A024FE" w:rsidRDefault="003E3EC5">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all reasonable assistance, inc</w:t>
      </w:r>
      <w:r>
        <w:rPr>
          <w:rFonts w:ascii="Arial" w:eastAsia="Arial" w:hAnsi="Arial" w:cs="Arial"/>
          <w:sz w:val="24"/>
          <w:szCs w:val="24"/>
        </w:rPr>
        <w:t>luding:</w:t>
      </w:r>
    </w:p>
    <w:p w:rsidR="00A024FE" w:rsidRDefault="003E3EC5">
      <w:pPr>
        <w:numPr>
          <w:ilvl w:val="3"/>
          <w:numId w:val="1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rsidR="00A024FE" w:rsidRDefault="003E3EC5">
      <w:pPr>
        <w:numPr>
          <w:ilvl w:val="3"/>
          <w:numId w:val="1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including taking such reasonable steps as are directed by the other Party to assist in the investigation, mitigation and remediation of a Personal Data Breach;</w:t>
      </w:r>
    </w:p>
    <w:p w:rsidR="00A024FE" w:rsidRDefault="003E3EC5">
      <w:pPr>
        <w:numPr>
          <w:ilvl w:val="3"/>
          <w:numId w:val="1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co-ordination with the other Party regarding the management of</w:t>
      </w:r>
      <w:r>
        <w:rPr>
          <w:rFonts w:ascii="Arial" w:eastAsia="Arial" w:hAnsi="Arial" w:cs="Arial"/>
          <w:sz w:val="24"/>
          <w:szCs w:val="24"/>
        </w:rPr>
        <w:t xml:space="preserve"> public relations and public statements relating to the Personal Data Breach; and/or</w:t>
      </w:r>
    </w:p>
    <w:p w:rsidR="00A024FE" w:rsidRDefault="003E3EC5">
      <w:pPr>
        <w:numPr>
          <w:ilvl w:val="3"/>
          <w:numId w:val="1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providing the other Party and to the extent instructed by the other Party to do so, and/or the Information Commissioner investigating the Personal Data Breach, with comple</w:t>
      </w:r>
      <w:r>
        <w:rPr>
          <w:rFonts w:ascii="Arial" w:eastAsia="Arial" w:hAnsi="Arial" w:cs="Arial"/>
          <w:sz w:val="24"/>
          <w:szCs w:val="24"/>
        </w:rPr>
        <w:t>te information relating to the Personal Data Breach, including, without limitation, the information set out in Clause 3.2.</w:t>
      </w:r>
    </w:p>
    <w:p w:rsidR="00A024FE" w:rsidRDefault="003E3EC5">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Party shall take all steps to restore, re-constitute and/or reconstruct any Personal Data where it has  lost, damaged, destroyed</w:t>
      </w:r>
      <w:r>
        <w:rPr>
          <w:rFonts w:ascii="Arial" w:eastAsia="Arial" w:hAnsi="Arial" w:cs="Arial"/>
          <w:color w:val="000000"/>
          <w:sz w:val="24"/>
          <w:szCs w:val="24"/>
        </w:rPr>
        <w:t>, altered or corrupted as a result of a Personal Data Breach as it was  that Party’s own data at its own cost with all possible speed and shall provide the other Party with all reasonable assistance in respect of any such Personal Data Breach, including pr</w:t>
      </w:r>
      <w:r>
        <w:rPr>
          <w:rFonts w:ascii="Arial" w:eastAsia="Arial" w:hAnsi="Arial" w:cs="Arial"/>
          <w:color w:val="000000"/>
          <w:sz w:val="24"/>
          <w:szCs w:val="24"/>
        </w:rPr>
        <w:t>oviding the other Party, as soon as possible and within 48 hours of the Personal Data Breach relating to the Personal Data Breach, in particular:</w:t>
      </w:r>
    </w:p>
    <w:p w:rsidR="00A024FE" w:rsidRDefault="003E3EC5">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nature of the Personal Data Breach; </w:t>
      </w:r>
    </w:p>
    <w:p w:rsidR="00A024FE" w:rsidRDefault="003E3EC5">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nature of Personal Data affected;</w:t>
      </w:r>
    </w:p>
    <w:p w:rsidR="00A024FE" w:rsidRDefault="003E3EC5">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categories and number of Da</w:t>
      </w:r>
      <w:r>
        <w:rPr>
          <w:rFonts w:ascii="Arial" w:eastAsia="Arial" w:hAnsi="Arial" w:cs="Arial"/>
          <w:sz w:val="24"/>
          <w:szCs w:val="24"/>
        </w:rPr>
        <w:t>ta Subjects concerned;</w:t>
      </w:r>
    </w:p>
    <w:p w:rsidR="00A024FE" w:rsidRDefault="003E3EC5">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name and contact details of the Supplier’s Data Protection Officer or other relevant contact from whom more information may be obtained;</w:t>
      </w:r>
    </w:p>
    <w:p w:rsidR="00A024FE" w:rsidRDefault="003E3EC5">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measures taken or proposed to be taken to address the Personal Data Breach; and</w:t>
      </w:r>
    </w:p>
    <w:p w:rsidR="00A024FE" w:rsidRDefault="003E3EC5">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describe the likely consequences of the Personal Data Breach.</w:t>
      </w:r>
    </w:p>
    <w:p w:rsidR="00A024FE" w:rsidRDefault="003E3EC5">
      <w:pPr>
        <w:numPr>
          <w:ilvl w:val="2"/>
          <w:numId w:val="8"/>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Audit</w:t>
      </w:r>
    </w:p>
    <w:p w:rsidR="00A024FE" w:rsidRDefault="003E3EC5">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permit:</w:t>
      </w:r>
      <w:r>
        <w:rPr>
          <w:rFonts w:ascii="Arial" w:eastAsia="Arial" w:hAnsi="Arial" w:cs="Arial"/>
          <w:color w:val="000000"/>
          <w:sz w:val="24"/>
          <w:szCs w:val="24"/>
        </w:rPr>
        <w:tab/>
      </w:r>
    </w:p>
    <w:p w:rsidR="00A024FE" w:rsidRDefault="003E3EC5">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the Relevant Authority, or a third-party auditor acting under the Relevant Authority’s direction, to conduct, at the Relevant Authority’s cost, data privacy and security audits, assessments and inspections concerning the Supplier’s data security and privac</w:t>
      </w:r>
      <w:r>
        <w:rPr>
          <w:rFonts w:ascii="Arial" w:eastAsia="Arial" w:hAnsi="Arial" w:cs="Arial"/>
          <w:sz w:val="24"/>
          <w:szCs w:val="24"/>
        </w:rPr>
        <w:t>y procedures relating to Personal Data, its compliance with this Annex 2 and the Data Protection Legislation; and/or</w:t>
      </w:r>
    </w:p>
    <w:p w:rsidR="00A024FE" w:rsidRDefault="003E3EC5">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Relevant Authority, or a third-party auditor acting under the Relevant Authority’s direction, access to premises at which the Personal </w:t>
      </w:r>
      <w:r>
        <w:rPr>
          <w:rFonts w:ascii="Arial" w:eastAsia="Arial" w:hAnsi="Arial" w:cs="Arial"/>
          <w:sz w:val="24"/>
          <w:szCs w:val="24"/>
        </w:rPr>
        <w:t xml:space="preserve">Data is accessible or at which it is able to inspect any relevant records, including the record maintained under Article 30 UK GDPR by the Supplier so far as relevant to the Contract, and procedures, including premises under the control of any third party </w:t>
      </w:r>
      <w:r>
        <w:rPr>
          <w:rFonts w:ascii="Arial" w:eastAsia="Arial" w:hAnsi="Arial" w:cs="Arial"/>
          <w:sz w:val="24"/>
          <w:szCs w:val="24"/>
        </w:rPr>
        <w:t xml:space="preserve">appointed by the Supplier to assist in the provision of the Deliverables. </w:t>
      </w:r>
    </w:p>
    <w:p w:rsidR="00A024FE" w:rsidRDefault="00A024FE">
      <w:pPr>
        <w:pBdr>
          <w:top w:val="nil"/>
          <w:left w:val="nil"/>
          <w:bottom w:val="nil"/>
          <w:right w:val="nil"/>
          <w:between w:val="nil"/>
        </w:pBdr>
        <w:spacing w:before="280" w:after="120" w:line="240" w:lineRule="auto"/>
        <w:ind w:left="809"/>
        <w:jc w:val="both"/>
        <w:rPr>
          <w:rFonts w:ascii="Arial" w:eastAsia="Arial" w:hAnsi="Arial" w:cs="Arial"/>
          <w:sz w:val="24"/>
          <w:szCs w:val="24"/>
        </w:rPr>
      </w:pPr>
    </w:p>
    <w:p w:rsidR="00A024FE" w:rsidRDefault="003E3EC5">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Relevant Authority may, in its sole discretion, require the Supplier to provide evidence of the Supplier’s compliance with Clause 4.1 in lieu of conducting such an audit, asses</w:t>
      </w:r>
      <w:r>
        <w:rPr>
          <w:rFonts w:ascii="Arial" w:eastAsia="Arial" w:hAnsi="Arial" w:cs="Arial"/>
          <w:color w:val="000000"/>
          <w:sz w:val="24"/>
          <w:szCs w:val="24"/>
        </w:rPr>
        <w:t>sment or inspection.</w:t>
      </w:r>
    </w:p>
    <w:p w:rsidR="00A024FE" w:rsidRDefault="003E3EC5">
      <w:pPr>
        <w:numPr>
          <w:ilvl w:val="2"/>
          <w:numId w:val="8"/>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Impact Assessments</w:t>
      </w:r>
    </w:p>
    <w:p w:rsidR="00A024FE" w:rsidRDefault="003E3EC5">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Parties shall:</w:t>
      </w:r>
    </w:p>
    <w:p w:rsidR="00A024FE" w:rsidRDefault="003E3EC5">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all reasonable assistance to each other to prepare any Data Protection Impact Assessment as may be required (including provision of detailed information and assessments in relation to Processing operations, risks and measures); and</w:t>
      </w:r>
    </w:p>
    <w:p w:rsidR="00A024FE" w:rsidRDefault="00A024FE">
      <w:pPr>
        <w:pBdr>
          <w:top w:val="nil"/>
          <w:left w:val="nil"/>
          <w:bottom w:val="nil"/>
          <w:right w:val="nil"/>
          <w:between w:val="nil"/>
        </w:pBdr>
        <w:spacing w:after="80"/>
        <w:ind w:left="11"/>
        <w:rPr>
          <w:rFonts w:ascii="Arial" w:eastAsia="Arial" w:hAnsi="Arial" w:cs="Arial"/>
          <w:sz w:val="24"/>
          <w:szCs w:val="24"/>
        </w:rPr>
      </w:pPr>
    </w:p>
    <w:p w:rsidR="00A024FE" w:rsidRDefault="003E3EC5">
      <w:pPr>
        <w:numPr>
          <w:ilvl w:val="2"/>
          <w:numId w:val="4"/>
        </w:numPr>
        <w:pBdr>
          <w:top w:val="nil"/>
          <w:left w:val="nil"/>
          <w:bottom w:val="nil"/>
          <w:right w:val="nil"/>
          <w:between w:val="nil"/>
        </w:pBdr>
        <w:spacing w:before="80" w:after="120" w:line="240" w:lineRule="auto"/>
        <w:jc w:val="both"/>
        <w:rPr>
          <w:rFonts w:ascii="Arial" w:eastAsia="Arial" w:hAnsi="Arial" w:cs="Arial"/>
          <w:sz w:val="24"/>
          <w:szCs w:val="24"/>
        </w:rPr>
      </w:pPr>
      <w:r>
        <w:rPr>
          <w:rFonts w:ascii="Arial" w:eastAsia="Arial" w:hAnsi="Arial" w:cs="Arial"/>
          <w:sz w:val="24"/>
          <w:szCs w:val="24"/>
        </w:rPr>
        <w:t>maintain full and complete records of all Processing carried out in respect of the Personal Data in connection with the Contract, in accordance with the terms of Article 30 UK GDPR.</w:t>
      </w:r>
    </w:p>
    <w:p w:rsidR="00A024FE" w:rsidRDefault="00A024FE">
      <w:pPr>
        <w:keepNext/>
        <w:rPr>
          <w:rFonts w:ascii="Arial" w:eastAsia="Arial" w:hAnsi="Arial" w:cs="Arial"/>
          <w:sz w:val="24"/>
          <w:szCs w:val="24"/>
        </w:rPr>
      </w:pPr>
    </w:p>
    <w:p w:rsidR="00A024FE" w:rsidRDefault="003E3EC5">
      <w:pPr>
        <w:numPr>
          <w:ilvl w:val="2"/>
          <w:numId w:val="8"/>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ICO Guidance</w:t>
      </w:r>
    </w:p>
    <w:p w:rsidR="00A024FE" w:rsidRDefault="003E3EC5">
      <w:pPr>
        <w:ind w:left="720"/>
        <w:rPr>
          <w:rFonts w:ascii="Arial" w:eastAsia="Arial" w:hAnsi="Arial" w:cs="Arial"/>
          <w:sz w:val="24"/>
          <w:szCs w:val="24"/>
        </w:rPr>
      </w:pPr>
      <w:r>
        <w:rPr>
          <w:rFonts w:ascii="Arial" w:eastAsia="Arial" w:hAnsi="Arial" w:cs="Arial"/>
          <w:sz w:val="24"/>
          <w:szCs w:val="24"/>
        </w:rPr>
        <w:t xml:space="preserve">The Parties agree to take account of any guidance issued by </w:t>
      </w:r>
      <w:r>
        <w:rPr>
          <w:rFonts w:ascii="Arial" w:eastAsia="Arial" w:hAnsi="Arial" w:cs="Arial"/>
          <w:sz w:val="24"/>
          <w:szCs w:val="24"/>
        </w:rPr>
        <w:t>the Information Commissioner and/or any relevant Central Government Body. The Relevant Authority may on not less than thirty (30) Working Days’ notice to the Supplier amend the Contract to ensure that it complies with any guidance issued by the Information</w:t>
      </w:r>
      <w:r>
        <w:rPr>
          <w:rFonts w:ascii="Arial" w:eastAsia="Arial" w:hAnsi="Arial" w:cs="Arial"/>
          <w:sz w:val="24"/>
          <w:szCs w:val="24"/>
        </w:rPr>
        <w:t xml:space="preserve"> Commissioner and/or any relevant Central Government Body.</w:t>
      </w:r>
    </w:p>
    <w:p w:rsidR="00A024FE" w:rsidRDefault="003E3EC5">
      <w:pPr>
        <w:numPr>
          <w:ilvl w:val="2"/>
          <w:numId w:val="8"/>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Liabilities for Data Protection Breach</w:t>
      </w:r>
    </w:p>
    <w:p w:rsidR="00A024FE" w:rsidRDefault="003E3EC5">
      <w:pPr>
        <w:ind w:left="720"/>
        <w:rPr>
          <w:rFonts w:ascii="Arial" w:eastAsia="Arial" w:hAnsi="Arial" w:cs="Arial"/>
          <w:b/>
          <w:sz w:val="24"/>
          <w:szCs w:val="24"/>
        </w:rPr>
      </w:pPr>
      <w:r>
        <w:rPr>
          <w:rFonts w:ascii="Arial" w:eastAsia="Arial" w:hAnsi="Arial" w:cs="Arial"/>
          <w:b/>
          <w:sz w:val="24"/>
          <w:szCs w:val="24"/>
          <w:highlight w:val="yellow"/>
        </w:rPr>
        <w:t>[Guidance:</w:t>
      </w:r>
      <w:r>
        <w:rPr>
          <w:rFonts w:ascii="Arial" w:eastAsia="Arial" w:hAnsi="Arial" w:cs="Arial"/>
          <w:b/>
          <w:sz w:val="24"/>
          <w:szCs w:val="24"/>
        </w:rPr>
        <w:t xml:space="preserve"> </w:t>
      </w:r>
      <w:r>
        <w:rPr>
          <w:rFonts w:ascii="Arial" w:eastAsia="Arial" w:hAnsi="Arial" w:cs="Arial"/>
          <w:sz w:val="24"/>
          <w:szCs w:val="24"/>
        </w:rPr>
        <w:t>This clause represents a risk share, you may wish to reconsider the apportionment of liability and whether recoverability of losses are likely to b</w:t>
      </w:r>
      <w:r>
        <w:rPr>
          <w:rFonts w:ascii="Arial" w:eastAsia="Arial" w:hAnsi="Arial" w:cs="Arial"/>
          <w:sz w:val="24"/>
          <w:szCs w:val="24"/>
        </w:rPr>
        <w:t xml:space="preserve">e hindered by the contractual limitation of liability provisions] </w:t>
      </w:r>
    </w:p>
    <w:p w:rsidR="00A024FE" w:rsidRDefault="003E3EC5">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lastRenderedPageBreak/>
        <w:t>If financial penalties are imposed by the Information Commissioner on either the Relevant Authority or the Supplier for a Personal Data Breach ("</w:t>
      </w:r>
      <w:r>
        <w:rPr>
          <w:rFonts w:ascii="Arial" w:eastAsia="Arial" w:hAnsi="Arial" w:cs="Arial"/>
          <w:b/>
          <w:color w:val="000000"/>
          <w:sz w:val="24"/>
          <w:szCs w:val="24"/>
        </w:rPr>
        <w:t>Financial Penalties</w:t>
      </w:r>
      <w:r>
        <w:rPr>
          <w:rFonts w:ascii="Arial" w:eastAsia="Arial" w:hAnsi="Arial" w:cs="Arial"/>
          <w:color w:val="000000"/>
          <w:sz w:val="24"/>
          <w:szCs w:val="24"/>
        </w:rPr>
        <w:t>") then the following shall occur:</w:t>
      </w:r>
    </w:p>
    <w:p w:rsidR="00A024FE" w:rsidRDefault="003E3EC5">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in the view of the Information Commissioner, the Relevant Authority is responsible for the Personal Data Breach, in that it is caused as a result of the actions or inaction of the Relevant Authority, its employees, age</w:t>
      </w:r>
      <w:r>
        <w:rPr>
          <w:rFonts w:ascii="Arial" w:eastAsia="Arial" w:hAnsi="Arial" w:cs="Arial"/>
          <w:sz w:val="24"/>
          <w:szCs w:val="24"/>
        </w:rPr>
        <w:t>nts, contractors (other than the Supplier) or systems and procedures controlled by the Relevant Authority, then the Relevant Authority shall be responsible for the payment of such Financial Penalties. In this case, the Relevant Authority will conduct an in</w:t>
      </w:r>
      <w:r>
        <w:rPr>
          <w:rFonts w:ascii="Arial" w:eastAsia="Arial" w:hAnsi="Arial" w:cs="Arial"/>
          <w:sz w:val="24"/>
          <w:szCs w:val="24"/>
        </w:rPr>
        <w:t xml:space="preserve">ternal audit and engage at its reasonable cost when necessary, an independent third party to conduct an audit of any such Personal Data Breach. The Supplier shall provide to the Relevant Authority and its third party investigators and auditors, on request </w:t>
      </w:r>
      <w:r>
        <w:rPr>
          <w:rFonts w:ascii="Arial" w:eastAsia="Arial" w:hAnsi="Arial" w:cs="Arial"/>
          <w:sz w:val="24"/>
          <w:szCs w:val="24"/>
        </w:rPr>
        <w:t xml:space="preserve">and at the Supplier's reasonable cost, full cooperation and access to conduct a thorough audit of such Personal Data Breach; </w:t>
      </w:r>
    </w:p>
    <w:p w:rsidR="00A024FE" w:rsidRDefault="003E3EC5">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in the view of the Information Commissioner, the Supplier is responsible for the Personal Data Breach, in that it is not a Pers</w:t>
      </w:r>
      <w:r>
        <w:rPr>
          <w:rFonts w:ascii="Arial" w:eastAsia="Arial" w:hAnsi="Arial" w:cs="Arial"/>
          <w:sz w:val="24"/>
          <w:szCs w:val="24"/>
        </w:rPr>
        <w:t>onal Data Breach that the Relevant Authority is responsible for, then the Supplier shall be responsible for the payment of these Financial Penalties. The Supplier will provide to the Relevant Authority and its auditors, on request and at the Supplier’s sol</w:t>
      </w:r>
      <w:r>
        <w:rPr>
          <w:rFonts w:ascii="Arial" w:eastAsia="Arial" w:hAnsi="Arial" w:cs="Arial"/>
          <w:sz w:val="24"/>
          <w:szCs w:val="24"/>
        </w:rPr>
        <w:t>e cost, full cooperation and access to conduct a thorough audit of such Personal Data Breach; or</w:t>
      </w:r>
    </w:p>
    <w:p w:rsidR="00A024FE" w:rsidRDefault="003E3EC5">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no view as to responsibility is expressed by the Information Commissioner, then the Relevant Authority and the Supplier shall work together to investigate t</w:t>
      </w:r>
      <w:r>
        <w:rPr>
          <w:rFonts w:ascii="Arial" w:eastAsia="Arial" w:hAnsi="Arial" w:cs="Arial"/>
          <w:sz w:val="24"/>
          <w:szCs w:val="24"/>
        </w:rPr>
        <w:t>he relevant Personal Data Breach and allocate responsibility for any Financial Penalties as outlined above, or by agreement to split any financial penalties equally if no responsibility for the Personal Data Breach can be apportioned. In the event that the</w:t>
      </w:r>
      <w:r>
        <w:rPr>
          <w:rFonts w:ascii="Arial" w:eastAsia="Arial" w:hAnsi="Arial" w:cs="Arial"/>
          <w:sz w:val="24"/>
          <w:szCs w:val="24"/>
        </w:rPr>
        <w:t xml:space="preserve"> Parties do not agree such apportionment then such Dispute shall be referred to the Dispute Resolution Procedure set out in Clause 34 of the Core Terms (Resolving disputes). </w:t>
      </w:r>
    </w:p>
    <w:p w:rsidR="00A024FE" w:rsidRDefault="003E3EC5">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If either the Relevant Authority or the Supplier is the defendant in a legal clai</w:t>
      </w:r>
      <w:r>
        <w:rPr>
          <w:rFonts w:ascii="Arial" w:eastAsia="Arial" w:hAnsi="Arial" w:cs="Arial"/>
          <w:color w:val="000000"/>
          <w:sz w:val="24"/>
          <w:szCs w:val="24"/>
        </w:rPr>
        <w:t xml:space="preserve">m brought before a court of competent jurisdiction (“Court”) by a third party in respect of a Personal Data Breach, then unless the Parties otherwise agree, the Party that is determined by the final decision of the court to be responsible for the Personal </w:t>
      </w:r>
      <w:r>
        <w:rPr>
          <w:rFonts w:ascii="Arial" w:eastAsia="Arial" w:hAnsi="Arial" w:cs="Arial"/>
          <w:color w:val="000000"/>
          <w:sz w:val="24"/>
          <w:szCs w:val="24"/>
        </w:rPr>
        <w:t xml:space="preserve">Data Breach shall be liable for the losses arising from such Personal Data Breach. Where both Parties are liable, the liability will be apportioned between the Parties in accordance with the decision of the Court.  </w:t>
      </w:r>
    </w:p>
    <w:p w:rsidR="00A024FE" w:rsidRDefault="003E3EC5">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losses, cost claims or</w:t>
      </w:r>
      <w:r>
        <w:rPr>
          <w:rFonts w:ascii="Arial" w:eastAsia="Arial" w:hAnsi="Arial" w:cs="Arial"/>
          <w:color w:val="000000"/>
          <w:sz w:val="24"/>
          <w:szCs w:val="24"/>
        </w:rPr>
        <w:t xml:space="preserve"> expenses incurred by either Party as a result of a Personal Data Breach (the “Claim Losses”):</w:t>
      </w:r>
    </w:p>
    <w:p w:rsidR="00A024FE" w:rsidRDefault="003E3EC5">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Relevant Authority is responsible for the relevant Personal Data Breach, then the Relevant Authority shall be responsible for the Claim Losses;</w:t>
      </w:r>
    </w:p>
    <w:p w:rsidR="00A024FE" w:rsidRDefault="003E3EC5">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Sup</w:t>
      </w:r>
      <w:r>
        <w:rPr>
          <w:rFonts w:ascii="Arial" w:eastAsia="Arial" w:hAnsi="Arial" w:cs="Arial"/>
          <w:sz w:val="24"/>
          <w:szCs w:val="24"/>
        </w:rPr>
        <w:t>plier is responsible for the relevant Personal Data Breach, then the Supplier shall be responsible for the Claim Losses: and</w:t>
      </w:r>
    </w:p>
    <w:p w:rsidR="00A024FE" w:rsidRDefault="003E3EC5">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if responsibility for the relevant Personal Data Breach is unclear, then the Relevant Authority and the Supplier shall be responsib</w:t>
      </w:r>
      <w:r>
        <w:rPr>
          <w:rFonts w:ascii="Arial" w:eastAsia="Arial" w:hAnsi="Arial" w:cs="Arial"/>
          <w:sz w:val="24"/>
          <w:szCs w:val="24"/>
        </w:rPr>
        <w:t xml:space="preserve">le for the Claim Losses equally. </w:t>
      </w:r>
    </w:p>
    <w:p w:rsidR="00A024FE" w:rsidRDefault="00A024FE">
      <w:pPr>
        <w:pBdr>
          <w:top w:val="nil"/>
          <w:left w:val="nil"/>
          <w:bottom w:val="nil"/>
          <w:right w:val="nil"/>
          <w:between w:val="nil"/>
        </w:pBdr>
        <w:spacing w:before="280" w:after="120" w:line="240" w:lineRule="auto"/>
        <w:ind w:left="809"/>
        <w:jc w:val="both"/>
        <w:rPr>
          <w:rFonts w:ascii="Arial" w:eastAsia="Arial" w:hAnsi="Arial" w:cs="Arial"/>
          <w:sz w:val="24"/>
          <w:szCs w:val="24"/>
        </w:rPr>
      </w:pPr>
    </w:p>
    <w:p w:rsidR="00A024FE" w:rsidRDefault="003E3EC5">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Nothing in either clause 7.2 or clause 7.3 shall preclude the Relevant Authority and the Supplier reaching any other agreement, including by way of compromise with a third party complainant or claimant, as to the apportionment of financial responsibility f</w:t>
      </w:r>
      <w:r>
        <w:rPr>
          <w:rFonts w:ascii="Arial" w:eastAsia="Arial" w:hAnsi="Arial" w:cs="Arial"/>
          <w:color w:val="000000"/>
          <w:sz w:val="24"/>
          <w:szCs w:val="24"/>
        </w:rPr>
        <w:t>or any Claim Losses as a result of a Personal Data Breach, having regard to all the circumstances of the Personal Data Breach and the legal and financial obligations of the Relevant Authority.</w:t>
      </w:r>
    </w:p>
    <w:p w:rsidR="00A024FE" w:rsidRDefault="003E3EC5">
      <w:pPr>
        <w:numPr>
          <w:ilvl w:val="2"/>
          <w:numId w:val="8"/>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Termination</w:t>
      </w:r>
    </w:p>
    <w:p w:rsidR="00A024FE" w:rsidRDefault="003E3EC5">
      <w:pPr>
        <w:keepNext/>
        <w:ind w:left="720"/>
        <w:rPr>
          <w:rFonts w:ascii="Arial" w:eastAsia="Arial" w:hAnsi="Arial" w:cs="Arial"/>
          <w:sz w:val="24"/>
          <w:szCs w:val="24"/>
        </w:rPr>
      </w:pPr>
      <w:r>
        <w:rPr>
          <w:rFonts w:ascii="Arial" w:eastAsia="Arial" w:hAnsi="Arial" w:cs="Arial"/>
          <w:sz w:val="24"/>
          <w:szCs w:val="24"/>
        </w:rPr>
        <w:t>If the Supplier is in material Default under any of</w:t>
      </w:r>
      <w:r>
        <w:rPr>
          <w:rFonts w:ascii="Arial" w:eastAsia="Arial" w:hAnsi="Arial" w:cs="Arial"/>
          <w:sz w:val="24"/>
          <w:szCs w:val="24"/>
        </w:rPr>
        <w:t xml:space="preserve"> its obligations under this Annex 2 (</w:t>
      </w:r>
      <w:r>
        <w:rPr>
          <w:rFonts w:ascii="Arial" w:eastAsia="Arial" w:hAnsi="Arial" w:cs="Arial"/>
          <w:i/>
          <w:sz w:val="24"/>
          <w:szCs w:val="24"/>
        </w:rPr>
        <w:t>Joint Controller Agreement</w:t>
      </w:r>
      <w:r>
        <w:rPr>
          <w:rFonts w:ascii="Arial" w:eastAsia="Arial" w:hAnsi="Arial" w:cs="Arial"/>
          <w:sz w:val="24"/>
          <w:szCs w:val="24"/>
        </w:rPr>
        <w:t>), the Relevant Authority shall be entitled to terminate the Contract by issuing a Termination Notice to the Supplier in accordance with Clause 10 of the Core Terms (</w:t>
      </w:r>
      <w:r>
        <w:rPr>
          <w:rFonts w:ascii="Arial" w:eastAsia="Arial" w:hAnsi="Arial" w:cs="Arial"/>
          <w:i/>
          <w:sz w:val="24"/>
          <w:szCs w:val="24"/>
        </w:rPr>
        <w:t>Ending the contract</w:t>
      </w:r>
      <w:r>
        <w:rPr>
          <w:rFonts w:ascii="Arial" w:eastAsia="Arial" w:hAnsi="Arial" w:cs="Arial"/>
          <w:sz w:val="24"/>
          <w:szCs w:val="24"/>
        </w:rPr>
        <w:t>).</w:t>
      </w:r>
    </w:p>
    <w:p w:rsidR="00A024FE" w:rsidRDefault="003E3EC5">
      <w:pPr>
        <w:numPr>
          <w:ilvl w:val="2"/>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Sub-P</w:t>
      </w:r>
      <w:r>
        <w:rPr>
          <w:rFonts w:ascii="Arial" w:eastAsia="Arial" w:hAnsi="Arial" w:cs="Arial"/>
          <w:b/>
          <w:color w:val="000000"/>
          <w:sz w:val="24"/>
          <w:szCs w:val="24"/>
        </w:rPr>
        <w:t>rocessing</w:t>
      </w:r>
    </w:p>
    <w:p w:rsidR="00A024FE" w:rsidRDefault="003E3EC5">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Processing of Personal Data performed by a third party on behalf of a Party, that Party shall:</w:t>
      </w:r>
    </w:p>
    <w:p w:rsidR="00A024FE" w:rsidRDefault="003E3EC5">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carry out adequate due diligence on such third party to ensure that it is capable of providing the level of protection for the Personal Data as is required by the Contract, and  provide evidence of such due diligence to the  other Party where reasonably re</w:t>
      </w:r>
      <w:r>
        <w:rPr>
          <w:rFonts w:ascii="Arial" w:eastAsia="Arial" w:hAnsi="Arial" w:cs="Arial"/>
          <w:sz w:val="24"/>
          <w:szCs w:val="24"/>
        </w:rPr>
        <w:t>quested; and</w:t>
      </w:r>
    </w:p>
    <w:p w:rsidR="00A024FE" w:rsidRDefault="003E3EC5">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 suitable agreement is in place with the third party as required under applicable Data Protection Legislation.</w:t>
      </w:r>
    </w:p>
    <w:p w:rsidR="00A024FE" w:rsidRDefault="00A024FE">
      <w:pPr>
        <w:pBdr>
          <w:top w:val="nil"/>
          <w:left w:val="nil"/>
          <w:bottom w:val="nil"/>
          <w:right w:val="nil"/>
          <w:between w:val="nil"/>
        </w:pBdr>
        <w:spacing w:before="280" w:after="120" w:line="240" w:lineRule="auto"/>
        <w:ind w:left="809"/>
        <w:jc w:val="both"/>
        <w:rPr>
          <w:rFonts w:ascii="Arial" w:eastAsia="Arial" w:hAnsi="Arial" w:cs="Arial"/>
          <w:sz w:val="24"/>
          <w:szCs w:val="24"/>
        </w:rPr>
      </w:pPr>
    </w:p>
    <w:p w:rsidR="00A024FE" w:rsidRDefault="003E3EC5">
      <w:pPr>
        <w:numPr>
          <w:ilvl w:val="2"/>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Data Retention</w:t>
      </w:r>
    </w:p>
    <w:p w:rsidR="00A024FE" w:rsidRDefault="003E3EC5">
      <w:pPr>
        <w:pBdr>
          <w:top w:val="nil"/>
          <w:left w:val="nil"/>
          <w:bottom w:val="nil"/>
          <w:right w:val="nil"/>
          <w:between w:val="nil"/>
        </w:pBdr>
        <w:tabs>
          <w:tab w:val="left" w:pos="-179"/>
        </w:tabs>
        <w:spacing w:after="120" w:line="240" w:lineRule="auto"/>
        <w:ind w:left="720"/>
        <w:jc w:val="both"/>
        <w:rPr>
          <w:rFonts w:ascii="Arial" w:eastAsia="Arial" w:hAnsi="Arial" w:cs="Arial"/>
          <w:b/>
          <w:color w:val="000000"/>
          <w:sz w:val="24"/>
          <w:szCs w:val="24"/>
        </w:rPr>
      </w:pPr>
      <w:r>
        <w:rPr>
          <w:rFonts w:ascii="Arial" w:eastAsia="Arial" w:hAnsi="Arial" w:cs="Arial"/>
          <w:color w:val="000000"/>
          <w:sz w:val="24"/>
          <w:szCs w:val="24"/>
        </w:rPr>
        <w:t>The Parties agree to erase Personal Data from any computers, storage devices and storage media that are to be retained as soon as practicable after it has ceased to be necessary for them to retain such Personal Data under applicable Data Protection Legisla</w:t>
      </w:r>
      <w:r>
        <w:rPr>
          <w:rFonts w:ascii="Arial" w:eastAsia="Arial" w:hAnsi="Arial" w:cs="Arial"/>
          <w:color w:val="000000"/>
          <w:sz w:val="24"/>
          <w:szCs w:val="24"/>
        </w:rPr>
        <w:t>tion and their privacy policy (save to the extent (and for the limited period) that such information needs to be retained by the a Party for statutory compliance purposes or as otherwise required by the Contract), and taking all further actions as may be n</w:t>
      </w:r>
      <w:r>
        <w:rPr>
          <w:rFonts w:ascii="Arial" w:eastAsia="Arial" w:hAnsi="Arial" w:cs="Arial"/>
          <w:color w:val="000000"/>
          <w:sz w:val="24"/>
          <w:szCs w:val="24"/>
        </w:rPr>
        <w:t xml:space="preserve">ecessary to ensure its compliance with Data Protection Legislation and its privacy policy. </w:t>
      </w:r>
    </w:p>
    <w:p w:rsidR="00A024FE" w:rsidRDefault="00A024FE">
      <w:pPr>
        <w:pBdr>
          <w:top w:val="nil"/>
          <w:left w:val="nil"/>
          <w:bottom w:val="nil"/>
          <w:right w:val="nil"/>
          <w:between w:val="nil"/>
        </w:pBdr>
        <w:tabs>
          <w:tab w:val="left" w:pos="-179"/>
        </w:tabs>
        <w:spacing w:after="120" w:line="240" w:lineRule="auto"/>
        <w:ind w:left="2160" w:hanging="2160"/>
        <w:jc w:val="both"/>
        <w:rPr>
          <w:rFonts w:ascii="Arial" w:eastAsia="Arial" w:hAnsi="Arial" w:cs="Arial"/>
          <w:color w:val="000000"/>
          <w:sz w:val="24"/>
          <w:szCs w:val="24"/>
        </w:rPr>
      </w:pPr>
    </w:p>
    <w:p w:rsidR="00A024FE" w:rsidRDefault="00A024FE">
      <w:pPr>
        <w:keepNext/>
        <w:pBdr>
          <w:top w:val="nil"/>
          <w:left w:val="nil"/>
          <w:bottom w:val="nil"/>
          <w:right w:val="nil"/>
          <w:between w:val="nil"/>
        </w:pBdr>
        <w:spacing w:before="240" w:after="240"/>
        <w:ind w:left="720" w:hanging="720"/>
        <w:jc w:val="both"/>
        <w:rPr>
          <w:rFonts w:ascii="Arial" w:eastAsia="Arial" w:hAnsi="Arial" w:cs="Arial"/>
          <w:b/>
          <w:color w:val="000000"/>
          <w:sz w:val="24"/>
          <w:szCs w:val="24"/>
        </w:rPr>
      </w:pPr>
      <w:bookmarkStart w:id="17" w:name="bookmark=id.1ksv4uv" w:colFirst="0" w:colLast="0"/>
      <w:bookmarkStart w:id="18" w:name="_heading=h.44sinio" w:colFirst="0" w:colLast="0"/>
      <w:bookmarkEnd w:id="17"/>
      <w:bookmarkEnd w:id="18"/>
    </w:p>
    <w:sectPr w:rsidR="00A024FE">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3EC5" w:rsidRDefault="003E3EC5">
      <w:pPr>
        <w:spacing w:after="0" w:line="240" w:lineRule="auto"/>
      </w:pPr>
      <w:r>
        <w:separator/>
      </w:r>
    </w:p>
  </w:endnote>
  <w:endnote w:type="continuationSeparator" w:id="0">
    <w:p w:rsidR="003E3EC5" w:rsidRDefault="003E3E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auto"/>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Bold">
    <w:panose1 w:val="020B0704020202020204"/>
    <w:charset w:val="00"/>
    <w:family w:val="auto"/>
    <w:pitch w:val="variable"/>
    <w:sig w:usb0="00000003" w:usb1="00000000" w:usb2="00000000" w:usb3="00000000" w:csb0="00000001" w:csb1="00000000"/>
  </w:font>
  <w:font w:name="STZhongsong">
    <w:altName w:val="Yu Gothic UI"/>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auto"/>
    <w:pitch w:val="default"/>
  </w:font>
  <w:font w:name="Georgia">
    <w:panose1 w:val="02040502050405020303"/>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24FE" w:rsidRDefault="003E3EC5">
    <w:pPr>
      <w:tabs>
        <w:tab w:val="center" w:pos="4513"/>
        <w:tab w:val="right" w:pos="9026"/>
      </w:tabs>
      <w:spacing w:after="0"/>
      <w:rPr>
        <w:rFonts w:ascii="Arial" w:eastAsia="Arial" w:hAnsi="Arial" w:cs="Arial"/>
        <w:sz w:val="20"/>
        <w:szCs w:val="20"/>
      </w:rPr>
    </w:pPr>
    <w:r>
      <w:rPr>
        <w:rFonts w:ascii="Arial" w:eastAsia="Arial" w:hAnsi="Arial" w:cs="Arial"/>
        <w:sz w:val="20"/>
        <w:szCs w:val="20"/>
      </w:rPr>
      <w:t xml:space="preserve">Framework Ref: </w:t>
    </w:r>
    <w:r w:rsidR="004E337A">
      <w:rPr>
        <w:rFonts w:ascii="Arial" w:eastAsia="Arial" w:hAnsi="Arial" w:cs="Arial"/>
        <w:sz w:val="20"/>
        <w:szCs w:val="20"/>
      </w:rPr>
      <w:t>RM6268 Vehicle Lease, Fleet Management and Salary Sacrifice</w:t>
    </w:r>
    <w:r>
      <w:rPr>
        <w:rFonts w:ascii="Arial" w:eastAsia="Arial" w:hAnsi="Arial" w:cs="Arial"/>
        <w:sz w:val="20"/>
        <w:szCs w:val="20"/>
      </w:rPr>
      <w:tab/>
    </w:r>
    <w:r>
      <w:rPr>
        <w:rFonts w:ascii="Arial" w:eastAsia="Arial" w:hAnsi="Arial" w:cs="Arial"/>
        <w:sz w:val="20"/>
        <w:szCs w:val="20"/>
      </w:rPr>
      <w:t xml:space="preserve">                                           </w:t>
    </w:r>
  </w:p>
  <w:p w:rsidR="00A024FE" w:rsidRDefault="003E3EC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4E337A">
      <w:rPr>
        <w:rFonts w:ascii="Arial" w:eastAsia="Arial" w:hAnsi="Arial" w:cs="Arial"/>
        <w:color w:val="000000"/>
        <w:sz w:val="20"/>
        <w:szCs w:val="20"/>
      </w:rPr>
      <w:fldChar w:fldCharType="separate"/>
    </w:r>
    <w:r w:rsidR="004E337A">
      <w:rPr>
        <w:rFonts w:ascii="Arial" w:eastAsia="Arial" w:hAnsi="Arial" w:cs="Arial"/>
        <w:noProof/>
        <w:color w:val="000000"/>
        <w:sz w:val="20"/>
        <w:szCs w:val="20"/>
      </w:rPr>
      <w:t>2</w:t>
    </w:r>
    <w:r>
      <w:rPr>
        <w:rFonts w:ascii="Arial" w:eastAsia="Arial" w:hAnsi="Arial" w:cs="Arial"/>
        <w:color w:val="000000"/>
        <w:sz w:val="20"/>
        <w:szCs w:val="20"/>
      </w:rPr>
      <w:fldChar w:fldCharType="end"/>
    </w:r>
    <w:r>
      <w:rPr>
        <w:rFonts w:ascii="Arial" w:eastAsia="Arial" w:hAnsi="Arial" w:cs="Arial"/>
        <w:color w:val="000000"/>
        <w:sz w:val="20"/>
        <w:szCs w:val="20"/>
      </w:rPr>
      <w:t>-</w:t>
    </w:r>
  </w:p>
  <w:p w:rsidR="00A024FE" w:rsidRDefault="003E3EC5">
    <w:pPr>
      <w:spacing w:after="0"/>
    </w:pPr>
    <w:r>
      <w:rPr>
        <w:rFonts w:ascii="Arial" w:eastAsia="Arial" w:hAnsi="Arial" w:cs="Arial"/>
        <w:sz w:val="20"/>
        <w:szCs w:val="20"/>
      </w:rPr>
      <w:t>Model Version: v4.5</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24FE" w:rsidRDefault="003E3EC5">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rsidR="00A024FE" w:rsidRDefault="003E3EC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rsidR="00A024FE" w:rsidRDefault="003E3EC5">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3EC5" w:rsidRDefault="003E3EC5">
      <w:pPr>
        <w:spacing w:after="0" w:line="240" w:lineRule="auto"/>
      </w:pPr>
      <w:r>
        <w:separator/>
      </w:r>
    </w:p>
  </w:footnote>
  <w:footnote w:type="continuationSeparator" w:id="0">
    <w:p w:rsidR="003E3EC5" w:rsidRDefault="003E3E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24FE" w:rsidRDefault="003E3EC5">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rsidR="00A024FE" w:rsidRDefault="003E3EC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24FE" w:rsidRDefault="003E3EC5">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simplePos x="0" y="0"/>
          <wp:positionH relativeFrom="column">
            <wp:posOffset>5714365</wp:posOffset>
          </wp:positionH>
          <wp:positionV relativeFrom="paragraph">
            <wp:posOffset>-13331</wp:posOffset>
          </wp:positionV>
          <wp:extent cx="849085" cy="685627"/>
          <wp:effectExtent l="0" t="0" r="0" b="0"/>
          <wp:wrapNone/>
          <wp:docPr id="4"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6F11C9"/>
    <w:multiLevelType w:val="multilevel"/>
    <w:tmpl w:val="0176680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 w15:restartNumberingAfterBreak="0">
    <w:nsid w:val="089B5CE8"/>
    <w:multiLevelType w:val="multilevel"/>
    <w:tmpl w:val="1866724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 w15:restartNumberingAfterBreak="0">
    <w:nsid w:val="0E324CB2"/>
    <w:multiLevelType w:val="multilevel"/>
    <w:tmpl w:val="0FD0F7F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0FCF2F50"/>
    <w:multiLevelType w:val="multilevel"/>
    <w:tmpl w:val="A73C5136"/>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FEC7834"/>
    <w:multiLevelType w:val="multilevel"/>
    <w:tmpl w:val="45CE86A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5" w15:restartNumberingAfterBreak="0">
    <w:nsid w:val="10763396"/>
    <w:multiLevelType w:val="multilevel"/>
    <w:tmpl w:val="9E5A7E0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6" w15:restartNumberingAfterBreak="0">
    <w:nsid w:val="1BB21F6B"/>
    <w:multiLevelType w:val="multilevel"/>
    <w:tmpl w:val="227C33D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7" w15:restartNumberingAfterBreak="0">
    <w:nsid w:val="2CCA08F9"/>
    <w:multiLevelType w:val="multilevel"/>
    <w:tmpl w:val="AD1A620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8" w15:restartNumberingAfterBreak="0">
    <w:nsid w:val="2CE51363"/>
    <w:multiLevelType w:val="multilevel"/>
    <w:tmpl w:val="E0B4FADC"/>
    <w:lvl w:ilvl="0">
      <w:start w:val="1"/>
      <w:numFmt w:val="decimal"/>
      <w:pStyle w:val="ABackground"/>
      <w:lvlText w:val="%1."/>
      <w:lvlJc w:val="left"/>
      <w:pPr>
        <w:tabs>
          <w:tab w:val="num" w:pos="720"/>
        </w:tabs>
        <w:ind w:left="720" w:hanging="720"/>
      </w:pPr>
    </w:lvl>
    <w:lvl w:ilvl="1">
      <w:start w:val="1"/>
      <w:numFmt w:val="decimal"/>
      <w:pStyle w:val="BackSubClause"/>
      <w:lvlText w:val="%2."/>
      <w:lvlJc w:val="left"/>
      <w:pPr>
        <w:tabs>
          <w:tab w:val="num" w:pos="1440"/>
        </w:tabs>
        <w:ind w:left="1440" w:hanging="720"/>
      </w:pPr>
    </w:lvl>
    <w:lvl w:ilvl="2">
      <w:start w:val="1"/>
      <w:numFmt w:val="decimal"/>
      <w:pStyle w:val="TLTLevel3"/>
      <w:lvlText w:val="%3."/>
      <w:lvlJc w:val="left"/>
      <w:pPr>
        <w:tabs>
          <w:tab w:val="num" w:pos="2160"/>
        </w:tabs>
        <w:ind w:left="2160" w:hanging="720"/>
      </w:pPr>
    </w:lvl>
    <w:lvl w:ilvl="3">
      <w:start w:val="1"/>
      <w:numFmt w:val="decimal"/>
      <w:pStyle w:val="TLTLevel4"/>
      <w:lvlText w:val="%4."/>
      <w:lvlJc w:val="left"/>
      <w:pPr>
        <w:tabs>
          <w:tab w:val="num" w:pos="2880"/>
        </w:tabs>
        <w:ind w:left="2880" w:hanging="720"/>
      </w:pPr>
    </w:lvl>
    <w:lvl w:ilvl="4">
      <w:start w:val="1"/>
      <w:numFmt w:val="decimal"/>
      <w:pStyle w:val="TLTLe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3F2370E8"/>
    <w:multiLevelType w:val="multilevel"/>
    <w:tmpl w:val="783E6646"/>
    <w:lvl w:ilvl="0">
      <w:start w:val="23"/>
      <w:numFmt w:val="decimal"/>
      <w:pStyle w:val="Schedule"/>
      <w:lvlText w:val="%1"/>
      <w:lvlJc w:val="left"/>
      <w:pPr>
        <w:ind w:left="709" w:hanging="709"/>
      </w:pPr>
      <w:rPr>
        <w:b/>
      </w:rPr>
    </w:lvl>
    <w:lvl w:ilvl="1">
      <w:start w:val="1"/>
      <w:numFmt w:val="decimal"/>
      <w:pStyle w:val="Part"/>
      <w:lvlText w:val="%2."/>
      <w:lvlJc w:val="left"/>
      <w:pPr>
        <w:ind w:left="709" w:hanging="709"/>
      </w:pPr>
      <w:rPr>
        <w:b w:val="0"/>
        <w:i w:val="0"/>
        <w:color w:val="000000"/>
        <w:sz w:val="22"/>
        <w:szCs w:val="22"/>
      </w:rPr>
    </w:lvl>
    <w:lvl w:ilvl="2">
      <w:start w:val="1"/>
      <w:numFmt w:val="lowerLetter"/>
      <w:pStyle w:val="ScheduleTitleClause"/>
      <w:lvlText w:val="(%3)"/>
      <w:lvlJc w:val="left"/>
      <w:pPr>
        <w:ind w:left="809" w:hanging="709"/>
      </w:pPr>
      <w:rPr>
        <w:b w:val="0"/>
        <w:i w:val="0"/>
        <w:sz w:val="22"/>
        <w:szCs w:val="22"/>
      </w:rPr>
    </w:lvl>
    <w:lvl w:ilvl="3">
      <w:start w:val="1"/>
      <w:numFmt w:val="lowerRoman"/>
      <w:pStyle w:val="ScheduleUntitledsubclause1"/>
      <w:lvlText w:val="(%4)"/>
      <w:lvlJc w:val="left"/>
      <w:pPr>
        <w:ind w:left="2126" w:hanging="708"/>
      </w:pPr>
      <w:rPr>
        <w:b w:val="0"/>
        <w:i w:val="0"/>
        <w:sz w:val="22"/>
        <w:szCs w:val="22"/>
      </w:rPr>
    </w:lvl>
    <w:lvl w:ilvl="4">
      <w:start w:val="1"/>
      <w:numFmt w:val="upperLetter"/>
      <w:pStyle w:val="ScheduleUntitledsubclause2"/>
      <w:lvlText w:val="(%5)"/>
      <w:lvlJc w:val="left"/>
      <w:pPr>
        <w:ind w:left="2836" w:hanging="709"/>
      </w:pPr>
      <w:rPr>
        <w:b w:val="0"/>
        <w:i w:val="0"/>
      </w:rPr>
    </w:lvl>
    <w:lvl w:ilvl="5">
      <w:start w:val="1"/>
      <w:numFmt w:val="decimal"/>
      <w:pStyle w:val="ScheduleUntitledsubclause3"/>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0" w15:restartNumberingAfterBreak="0">
    <w:nsid w:val="49D83006"/>
    <w:multiLevelType w:val="multilevel"/>
    <w:tmpl w:val="32DCA5E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1" w15:restartNumberingAfterBreak="0">
    <w:nsid w:val="4B7D3C69"/>
    <w:multiLevelType w:val="multilevel"/>
    <w:tmpl w:val="9116918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4D3E75DA"/>
    <w:multiLevelType w:val="multilevel"/>
    <w:tmpl w:val="F762043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3" w15:restartNumberingAfterBreak="0">
    <w:nsid w:val="6A0338B1"/>
    <w:multiLevelType w:val="multilevel"/>
    <w:tmpl w:val="27C068F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9"/>
  </w:num>
  <w:num w:numId="2">
    <w:abstractNumId w:val="4"/>
  </w:num>
  <w:num w:numId="3">
    <w:abstractNumId w:val="7"/>
  </w:num>
  <w:num w:numId="4">
    <w:abstractNumId w:val="12"/>
  </w:num>
  <w:num w:numId="5">
    <w:abstractNumId w:val="1"/>
  </w:num>
  <w:num w:numId="6">
    <w:abstractNumId w:val="11"/>
  </w:num>
  <w:num w:numId="7">
    <w:abstractNumId w:val="10"/>
  </w:num>
  <w:num w:numId="8">
    <w:abstractNumId w:val="3"/>
  </w:num>
  <w:num w:numId="9">
    <w:abstractNumId w:val="0"/>
  </w:num>
  <w:num w:numId="10">
    <w:abstractNumId w:val="2"/>
  </w:num>
  <w:num w:numId="11">
    <w:abstractNumId w:val="13"/>
  </w:num>
  <w:num w:numId="12">
    <w:abstractNumId w:val="5"/>
  </w:num>
  <w:num w:numId="13">
    <w:abstractNumId w:val="6"/>
  </w:num>
  <w:num w:numId="14">
    <w:abstractNumId w:val="8"/>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24FE"/>
    <w:rsid w:val="003E3EC5"/>
    <w:rsid w:val="004E337A"/>
    <w:rsid w:val="00A024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EDBA022-A31E-4567-AFCE-09AA21D00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14"/>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14"/>
      </w:numPr>
      <w:spacing w:after="0" w:line="300" w:lineRule="atLeast"/>
      <w:jc w:val="both"/>
    </w:pPr>
    <w:rPr>
      <w:rFonts w:ascii="Times New Roman" w:hAnsi="Times New Roman" w:cs="Times New Roman"/>
    </w:rPr>
  </w:style>
  <w:style w:type="paragraph" w:customStyle="1" w:styleId="TLTLevel1">
    <w:name w:val="TLT Level 1"/>
    <w:basedOn w:val="Normal"/>
    <w:rsid w:val="002404A4"/>
    <w:pPr>
      <w:tabs>
        <w:tab w:val="num" w:pos="720"/>
      </w:tabs>
      <w:spacing w:before="100" w:line="240" w:lineRule="auto"/>
      <w:ind w:left="720" w:hanging="720"/>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tabs>
        <w:tab w:val="num" w:pos="1440"/>
      </w:tabs>
      <w:spacing w:before="100" w:line="240" w:lineRule="auto"/>
      <w:ind w:left="1440" w:hanging="720"/>
    </w:pPr>
  </w:style>
  <w:style w:type="paragraph" w:customStyle="1" w:styleId="TLTLevel3">
    <w:name w:val="TLT Level 3"/>
    <w:basedOn w:val="Normal"/>
    <w:rsid w:val="002404A4"/>
    <w:pPr>
      <w:numPr>
        <w:ilvl w:val="2"/>
        <w:numId w:val="15"/>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15"/>
      </w:numPr>
      <w:spacing w:before="100" w:line="240" w:lineRule="auto"/>
      <w:ind w:hanging="360"/>
    </w:pPr>
    <w:rPr>
      <w:rFonts w:ascii="Times New Roman" w:hAnsi="Times New Roman" w:cs="Times New Roman"/>
    </w:rPr>
  </w:style>
  <w:style w:type="paragraph" w:customStyle="1" w:styleId="TLTLevel5">
    <w:name w:val="TLT Level 5"/>
    <w:basedOn w:val="Normal"/>
    <w:rsid w:val="002404A4"/>
    <w:pPr>
      <w:numPr>
        <w:ilvl w:val="4"/>
        <w:numId w:val="15"/>
      </w:numPr>
      <w:spacing w:before="100" w:line="240" w:lineRule="auto"/>
      <w:ind w:hanging="360"/>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DEs+HJ5+PbAjqKihFJocfwrC8xg==">AMUW2mWTD9lqAtvCKg9pXtXAwvdV2AJbkfuJJ27N7v73N+upo+YNU+VfA6w4RcMHfdRn/PvxMrLxOIng5f5KEztJjsbnDlfW4NBk60orYmaL33p+DDdrzvfbOfmrJdelX4seYvrO9spfzbQup8VmOv+AXH2TDhtdM2MenC/2ABkxhUCgu15tW4sBabAPDht1XUlLuTQLrA2Sr/DYddOvUpFuib/fJRvnok7xkibUz4Zkh2SOuwhedgpLpq/MZmYqia/JwExJ9NYGtDeu0mZcjpS6jc5ObEgIHoUfDGR0TR9/iydQ6oIO0IIJLbJWTOoATLIotSACOcWcxHe8J1FPPjvG23t3FbFk7OTQluFCYsEsNTq9WCAi2Wo5DAMWT3rxNmhw+rzFQNC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5264</Words>
  <Characters>30010</Characters>
  <Application>Microsoft Office Word</Application>
  <DocSecurity>0</DocSecurity>
  <Lines>250</Lines>
  <Paragraphs>70</Paragraphs>
  <ScaleCrop>false</ScaleCrop>
  <Company>Cabinet Office</Company>
  <LinksUpToDate>false</LinksUpToDate>
  <CharactersWithSpaces>35204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Janine Cato</cp:lastModifiedBy>
  <cp:revision>2</cp:revision>
  <dcterms:created xsi:type="dcterms:W3CDTF">2021-02-25T18:36:00Z</dcterms:created>
  <dcterms:modified xsi:type="dcterms:W3CDTF">2022-03-22T12:55:00Z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